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6DD644" w14:textId="77777777" w:rsidR="009110F0" w:rsidRDefault="009110F0">
      <w:pPr>
        <w:rPr>
          <w:b/>
          <w:sz w:val="72"/>
          <w:szCs w:val="72"/>
        </w:rPr>
      </w:pPr>
    </w:p>
    <w:p w14:paraId="460C5B9E" w14:textId="1949AD44" w:rsidR="009110F0" w:rsidRDefault="009110F0">
      <w:pPr>
        <w:rPr>
          <w:b/>
          <w:sz w:val="72"/>
          <w:szCs w:val="72"/>
        </w:rPr>
      </w:pPr>
    </w:p>
    <w:p w14:paraId="3A88D17C" w14:textId="2DD95C56" w:rsidR="009110F0" w:rsidRDefault="009110F0">
      <w:pPr>
        <w:rPr>
          <w:b/>
          <w:sz w:val="72"/>
          <w:szCs w:val="72"/>
        </w:rPr>
      </w:pPr>
    </w:p>
    <w:p w14:paraId="06B8245D" w14:textId="6157C472" w:rsidR="009110F0" w:rsidRDefault="009110F0">
      <w:pPr>
        <w:rPr>
          <w:b/>
          <w:sz w:val="72"/>
          <w:szCs w:val="72"/>
        </w:rPr>
      </w:pPr>
    </w:p>
    <w:p w14:paraId="38C04BAC" w14:textId="77777777" w:rsidR="009110F0" w:rsidRDefault="009110F0">
      <w:pPr>
        <w:rPr>
          <w:b/>
          <w:sz w:val="72"/>
          <w:szCs w:val="72"/>
        </w:rPr>
      </w:pPr>
    </w:p>
    <w:p w14:paraId="12DA45CF" w14:textId="7589BB93" w:rsidR="009110F0" w:rsidRDefault="007971D8" w:rsidP="009110F0">
      <w:pPr>
        <w:jc w:val="center"/>
        <w:rPr>
          <w:b/>
          <w:sz w:val="72"/>
          <w:szCs w:val="72"/>
        </w:rPr>
      </w:pPr>
      <w:r>
        <w:rPr>
          <w:b/>
          <w:sz w:val="72"/>
          <w:szCs w:val="72"/>
        </w:rPr>
        <w:t>Maintenance of Power</w:t>
      </w:r>
      <w:r w:rsidR="009110F0">
        <w:rPr>
          <w:b/>
          <w:sz w:val="72"/>
          <w:szCs w:val="72"/>
        </w:rPr>
        <w:t xml:space="preserve">: Felon Disenfranchisement as a </w:t>
      </w:r>
      <w:r w:rsidR="00B627EF">
        <w:rPr>
          <w:b/>
          <w:sz w:val="72"/>
          <w:szCs w:val="72"/>
        </w:rPr>
        <w:t xml:space="preserve">Racialized </w:t>
      </w:r>
      <w:r w:rsidR="009110F0">
        <w:rPr>
          <w:b/>
          <w:sz w:val="72"/>
          <w:szCs w:val="72"/>
        </w:rPr>
        <w:t>Threat to Democratic Legitimacy</w:t>
      </w:r>
    </w:p>
    <w:p w14:paraId="14136408" w14:textId="77777777" w:rsidR="009110F0" w:rsidRDefault="009110F0">
      <w:pPr>
        <w:rPr>
          <w:b/>
        </w:rPr>
      </w:pPr>
    </w:p>
    <w:p w14:paraId="32E02AAB" w14:textId="77777777" w:rsidR="009110F0" w:rsidRDefault="009110F0">
      <w:pPr>
        <w:rPr>
          <w:b/>
        </w:rPr>
      </w:pPr>
    </w:p>
    <w:p w14:paraId="70E04F2E" w14:textId="77777777" w:rsidR="009110F0" w:rsidRDefault="009110F0">
      <w:pPr>
        <w:rPr>
          <w:b/>
        </w:rPr>
      </w:pPr>
    </w:p>
    <w:p w14:paraId="0F990A6F" w14:textId="77777777" w:rsidR="009110F0" w:rsidRDefault="009110F0">
      <w:pPr>
        <w:rPr>
          <w:b/>
        </w:rPr>
      </w:pPr>
    </w:p>
    <w:p w14:paraId="7F3EB930" w14:textId="77777777" w:rsidR="009110F0" w:rsidRDefault="009110F0">
      <w:pPr>
        <w:rPr>
          <w:b/>
        </w:rPr>
      </w:pPr>
    </w:p>
    <w:p w14:paraId="2C848B1F" w14:textId="77777777" w:rsidR="009110F0" w:rsidRDefault="009110F0">
      <w:pPr>
        <w:rPr>
          <w:b/>
        </w:rPr>
      </w:pPr>
    </w:p>
    <w:p w14:paraId="0C972163" w14:textId="77777777" w:rsidR="009110F0" w:rsidRDefault="009110F0">
      <w:pPr>
        <w:rPr>
          <w:b/>
        </w:rPr>
      </w:pPr>
    </w:p>
    <w:p w14:paraId="228E0B4A" w14:textId="77777777" w:rsidR="009110F0" w:rsidRDefault="009110F0">
      <w:pPr>
        <w:rPr>
          <w:b/>
        </w:rPr>
      </w:pPr>
    </w:p>
    <w:p w14:paraId="3290FB5E" w14:textId="77777777" w:rsidR="009110F0" w:rsidRDefault="009110F0">
      <w:pPr>
        <w:rPr>
          <w:b/>
        </w:rPr>
      </w:pPr>
    </w:p>
    <w:p w14:paraId="729D03FB" w14:textId="77777777" w:rsidR="009110F0" w:rsidRDefault="009110F0">
      <w:pPr>
        <w:rPr>
          <w:b/>
        </w:rPr>
      </w:pPr>
    </w:p>
    <w:p w14:paraId="22C728AF" w14:textId="77777777" w:rsidR="009110F0" w:rsidRDefault="009110F0">
      <w:pPr>
        <w:rPr>
          <w:b/>
        </w:rPr>
      </w:pPr>
    </w:p>
    <w:p w14:paraId="6F9D5601" w14:textId="77777777" w:rsidR="009110F0" w:rsidRDefault="009110F0">
      <w:pPr>
        <w:rPr>
          <w:b/>
        </w:rPr>
      </w:pPr>
    </w:p>
    <w:p w14:paraId="5301F4FB" w14:textId="26BAD8AD" w:rsidR="009110F0" w:rsidRDefault="009110F0">
      <w:pPr>
        <w:rPr>
          <w:b/>
        </w:rPr>
      </w:pPr>
    </w:p>
    <w:p w14:paraId="691735D8" w14:textId="3A799DE0" w:rsidR="009110F0" w:rsidRDefault="009110F0">
      <w:pPr>
        <w:rPr>
          <w:b/>
        </w:rPr>
      </w:pPr>
    </w:p>
    <w:p w14:paraId="04C621B1" w14:textId="77777777" w:rsidR="00B522E0" w:rsidRDefault="00B522E0" w:rsidP="00B522E0">
      <w:pPr>
        <w:rPr>
          <w:b/>
        </w:rPr>
      </w:pPr>
    </w:p>
    <w:p w14:paraId="6EDEACB2" w14:textId="77777777" w:rsidR="00B522E0" w:rsidRDefault="00B522E0" w:rsidP="00B522E0"/>
    <w:p w14:paraId="4C8D95BC" w14:textId="4007308F" w:rsidR="00B522E0" w:rsidRPr="00B522E0" w:rsidRDefault="00B522E0" w:rsidP="00B522E0">
      <w:pPr>
        <w:rPr>
          <w:b/>
        </w:rPr>
      </w:pPr>
      <w:r>
        <w:tab/>
      </w:r>
    </w:p>
    <w:p w14:paraId="2A342716" w14:textId="478D12BE" w:rsidR="008F789E" w:rsidRDefault="008F789E" w:rsidP="00A84B33">
      <w:pPr>
        <w:spacing w:line="480" w:lineRule="auto"/>
        <w:rPr>
          <w:b/>
        </w:rPr>
      </w:pPr>
      <w:r>
        <w:rPr>
          <w:b/>
        </w:rPr>
        <w:lastRenderedPageBreak/>
        <w:t>Abstract</w:t>
      </w:r>
    </w:p>
    <w:p w14:paraId="12DEC079" w14:textId="681C70FD" w:rsidR="008F789E" w:rsidRDefault="008F789E" w:rsidP="00A84B33">
      <w:pPr>
        <w:spacing w:line="480" w:lineRule="auto"/>
      </w:pPr>
      <w:r>
        <w:tab/>
      </w:r>
      <w:r w:rsidR="008A06F4">
        <w:t>Felon disenfranchisement is a widespread practice across the United States, with nearly every state prohibiting those found guilty of felonies from voting at some point after their conviction. Three theories, the citizenship theory, the social contract theory, and the self-determination theory, attempt to explain the legitimacy of the practice by examining the motivations of barring certain individuals from participating in elections. Throughout my research, I aim to determine a fundamental question relating to this practice: Is felon disenfranchisement antithetical to democratic legitimacy? To answer this, I examine data from each state about the rac</w:t>
      </w:r>
      <w:r w:rsidR="005F3ED7">
        <w:t>ial effects of</w:t>
      </w:r>
      <w:r w:rsidR="008A06F4">
        <w:t xml:space="preserve"> felon disenfranchisement</w:t>
      </w:r>
      <w:r w:rsidR="005F3ED7">
        <w:t xml:space="preserve"> by comparing the black disenfranchisement rate to the total disenfranchisement rate</w:t>
      </w:r>
      <w:r w:rsidR="008A06F4">
        <w:t xml:space="preserve">. </w:t>
      </w:r>
      <w:r w:rsidR="005F3ED7">
        <w:t xml:space="preserve">In addition, I </w:t>
      </w:r>
      <w:r w:rsidR="00EB1089">
        <w:t>conduct</w:t>
      </w:r>
      <w:r w:rsidR="005F3ED7">
        <w:t xml:space="preserve"> a case study on the state of Alabama to explain the social and political history of the practice of felon disenfranchisement. </w:t>
      </w:r>
      <w:r w:rsidR="008A06F4">
        <w:t xml:space="preserve">The findings suggest that felon disenfranchisement disproportionately affects black Americans leading to racialized political outcomes. Under the current system, in some states, over 20% of black adults are unable to vote due to felony convictions. Kentucky has the largest black disenfranchisement rate with over one-fourth of all black voters in Kentucky being unable to vote. </w:t>
      </w:r>
      <w:r w:rsidR="005F3ED7">
        <w:t>The three previously mentioned theories are abstract and fail to take racial, sociopolitical realities into account</w:t>
      </w:r>
      <w:r w:rsidR="00EB1089">
        <w:t>.</w:t>
      </w:r>
      <w:r w:rsidR="005F3ED7">
        <w:t xml:space="preserve"> </w:t>
      </w:r>
      <w:r w:rsidR="00EB1089">
        <w:t>B</w:t>
      </w:r>
      <w:r w:rsidR="008A06F4">
        <w:t>ecause of the racial implications of this study, I have created a new theory, named the “</w:t>
      </w:r>
      <w:r w:rsidR="005F3ED7">
        <w:t>maintenance of power</w:t>
      </w:r>
      <w:r w:rsidR="008A06F4">
        <w:t xml:space="preserve"> theory,” which argues that felon disenfranchisement is a method of manipulating the voting population of an area in order to maintain power through white supremacy. As a political tool of white supremacy, I argue felon disenfranchisement threatens democratic legitimacy.</w:t>
      </w:r>
    </w:p>
    <w:p w14:paraId="551CE110" w14:textId="77777777" w:rsidR="00EB1089" w:rsidRDefault="00EB1089" w:rsidP="00A84B33">
      <w:pPr>
        <w:spacing w:line="480" w:lineRule="auto"/>
        <w:rPr>
          <w:b/>
        </w:rPr>
      </w:pPr>
    </w:p>
    <w:p w14:paraId="3B4B9C61" w14:textId="77777777" w:rsidR="00EB1089" w:rsidRDefault="00EB1089" w:rsidP="00A84B33">
      <w:pPr>
        <w:spacing w:line="480" w:lineRule="auto"/>
        <w:rPr>
          <w:b/>
        </w:rPr>
      </w:pPr>
    </w:p>
    <w:p w14:paraId="430968EF" w14:textId="4FF313CE" w:rsidR="00A84B33" w:rsidRPr="00550CB5" w:rsidRDefault="00A84B33" w:rsidP="00A84B33">
      <w:pPr>
        <w:spacing w:line="480" w:lineRule="auto"/>
        <w:rPr>
          <w:b/>
        </w:rPr>
      </w:pPr>
      <w:r w:rsidRPr="00550CB5">
        <w:rPr>
          <w:b/>
        </w:rPr>
        <w:lastRenderedPageBreak/>
        <w:t>Introduction</w:t>
      </w:r>
    </w:p>
    <w:p w14:paraId="3575E226" w14:textId="475AC54E" w:rsidR="002C24A0" w:rsidRDefault="00F04A3E" w:rsidP="002C24A0">
      <w:pPr>
        <w:spacing w:line="480" w:lineRule="auto"/>
        <w:ind w:firstLine="720"/>
      </w:pPr>
      <w:r>
        <w:t>U</w:t>
      </w:r>
      <w:r w:rsidR="005D003D">
        <w:t>p</w:t>
      </w:r>
      <w:r>
        <w:t xml:space="preserve"> to recently, </w:t>
      </w:r>
      <w:r w:rsidR="00E63670" w:rsidRPr="00550CB5">
        <w:t xml:space="preserve">Western democracies, particularly the United States, </w:t>
      </w:r>
      <w:r w:rsidR="000514AC">
        <w:t>have been</w:t>
      </w:r>
      <w:r w:rsidR="00E63670" w:rsidRPr="00550CB5">
        <w:t xml:space="preserve"> often viewed as the golden standard of democracy. Despite this, their policies regarding felon disenfranchisement, the practice of stripping the right to vote from those convicted of felonies, disallow specific citizens to participate in government. This practice is especially pervasive in the United States, where each state has a different outlook on felon voting rights, ranging from</w:t>
      </w:r>
      <w:r w:rsidR="00D20C94">
        <w:t xml:space="preserve"> current</w:t>
      </w:r>
      <w:r w:rsidR="00E63670" w:rsidRPr="00550CB5">
        <w:t xml:space="preserve"> inmates being afforded the right to vote to felons being barred from voting for life. Throughout </w:t>
      </w:r>
      <w:r w:rsidR="000540DD">
        <w:t>this paper</w:t>
      </w:r>
      <w:r w:rsidR="00E63670" w:rsidRPr="00550CB5">
        <w:t xml:space="preserve">, I hope to answer a question central to this practice: </w:t>
      </w:r>
      <w:r w:rsidR="000540DD">
        <w:t>I</w:t>
      </w:r>
      <w:r w:rsidR="00E63670" w:rsidRPr="00550CB5">
        <w:t>s felon disenfranchisement a form of voter suppression that threatens democratic legitimacy?</w:t>
      </w:r>
      <w:r w:rsidR="007C28FD">
        <w:t xml:space="preserve"> I </w:t>
      </w:r>
      <w:r w:rsidR="000540DD">
        <w:t>argue that</w:t>
      </w:r>
      <w:r w:rsidR="007C28FD">
        <w:t xml:space="preserve"> it is.</w:t>
      </w:r>
    </w:p>
    <w:p w14:paraId="1039E551" w14:textId="31BCABF3" w:rsidR="00D457E6" w:rsidRDefault="002F4690" w:rsidP="00D20C94">
      <w:pPr>
        <w:spacing w:line="480" w:lineRule="auto"/>
        <w:ind w:firstLine="720"/>
      </w:pPr>
      <w:r w:rsidRPr="00550CB5">
        <w:t>According to Schmitter and Karl, nine “procedural minimums” must be present within a nation’s institutional design in order for that nation to be considered a democracy</w:t>
      </w:r>
      <w:r w:rsidR="00151C35">
        <w:t>.</w:t>
      </w:r>
      <w:r w:rsidR="00B449BF" w:rsidRPr="00550CB5">
        <w:rPr>
          <w:rStyle w:val="FootnoteReference"/>
        </w:rPr>
        <w:footnoteReference w:id="1"/>
      </w:r>
      <w:r w:rsidRPr="00550CB5">
        <w:t xml:space="preserve"> These minimums encompass the rights of individuals to express themselves politically, to vote in regular elections for elected officials, to run for office, and to otherwise participate and engage civically.</w:t>
      </w:r>
      <w:r w:rsidR="00DD117F" w:rsidRPr="00550CB5">
        <w:t xml:space="preserve"> </w:t>
      </w:r>
      <w:r w:rsidR="00D457E6">
        <w:t>The first seven minimums are taken from Robert Dahl and are as follows:</w:t>
      </w:r>
    </w:p>
    <w:p w14:paraId="1D187329" w14:textId="77777777" w:rsidR="00D457E6" w:rsidRDefault="00D457E6" w:rsidP="00D457E6">
      <w:pPr>
        <w:spacing w:line="480" w:lineRule="auto"/>
        <w:ind w:firstLine="720"/>
      </w:pPr>
      <w:r>
        <w:t>1) Control over government decisions about policy is constitutionally vested in elected officials.</w:t>
      </w:r>
    </w:p>
    <w:p w14:paraId="4E06B985" w14:textId="77777777" w:rsidR="00D457E6" w:rsidRDefault="00D457E6" w:rsidP="00D457E6">
      <w:pPr>
        <w:spacing w:line="480" w:lineRule="auto"/>
        <w:ind w:firstLine="720"/>
      </w:pPr>
      <w:r>
        <w:t xml:space="preserve">2) Elected officials are chosen in frequent and fairly conducted </w:t>
      </w:r>
      <w:proofErr w:type="spellStart"/>
      <w:r>
        <w:t>elec</w:t>
      </w:r>
      <w:proofErr w:type="spellEnd"/>
      <w:r>
        <w:t xml:space="preserve">- </w:t>
      </w:r>
      <w:proofErr w:type="spellStart"/>
      <w:r>
        <w:t>tions</w:t>
      </w:r>
      <w:proofErr w:type="spellEnd"/>
      <w:r>
        <w:t xml:space="preserve"> in which coercion is comparatively uncommon.</w:t>
      </w:r>
    </w:p>
    <w:p w14:paraId="7308040C" w14:textId="225858F2" w:rsidR="00D457E6" w:rsidRDefault="00D457E6" w:rsidP="00D457E6">
      <w:pPr>
        <w:spacing w:line="480" w:lineRule="auto"/>
        <w:ind w:firstLine="720"/>
      </w:pPr>
      <w:r>
        <w:t>3) Practically all adults have the right to vote in the election of officials.</w:t>
      </w:r>
    </w:p>
    <w:p w14:paraId="15902D4F" w14:textId="77777777" w:rsidR="00D457E6" w:rsidRDefault="00D457E6" w:rsidP="00D457E6">
      <w:pPr>
        <w:spacing w:line="480" w:lineRule="auto"/>
        <w:ind w:firstLine="720"/>
      </w:pPr>
      <w:r>
        <w:t>4) Practically all adults have the right to run for elective offices in the government</w:t>
      </w:r>
      <w:proofErr w:type="gramStart"/>
      <w:r>
        <w:t>. . . .</w:t>
      </w:r>
      <w:proofErr w:type="gramEnd"/>
    </w:p>
    <w:p w14:paraId="5726E75F" w14:textId="77777777" w:rsidR="00D457E6" w:rsidRDefault="00D457E6" w:rsidP="00D457E6">
      <w:pPr>
        <w:spacing w:line="480" w:lineRule="auto"/>
        <w:ind w:firstLine="720"/>
      </w:pPr>
      <w:r>
        <w:lastRenderedPageBreak/>
        <w:t>5) Citizens have a right to express themselves without the danger of severe punishment on political matters broadly defined</w:t>
      </w:r>
      <w:proofErr w:type="gramStart"/>
      <w:r>
        <w:t>. . . .</w:t>
      </w:r>
      <w:proofErr w:type="gramEnd"/>
    </w:p>
    <w:p w14:paraId="0A86FFC8" w14:textId="77777777" w:rsidR="00D457E6" w:rsidRDefault="00D457E6" w:rsidP="00D457E6">
      <w:pPr>
        <w:spacing w:line="480" w:lineRule="auto"/>
        <w:ind w:firstLine="720"/>
      </w:pPr>
      <w:r>
        <w:t>6) Citizens have a right to seek out alternative sources of information. Moreover, alternative sources of information exist and are protected by law.</w:t>
      </w:r>
    </w:p>
    <w:p w14:paraId="6BACCCAA" w14:textId="11886AB5" w:rsidR="00D457E6" w:rsidRDefault="00D457E6" w:rsidP="00D457E6">
      <w:pPr>
        <w:spacing w:line="480" w:lineRule="auto"/>
        <w:ind w:firstLine="720"/>
      </w:pPr>
      <w:r>
        <w:t>7) Citizens also have the right to form relatively independent associations or organizations, including independent political parties and interest groups.</w:t>
      </w:r>
      <w:r w:rsidR="009248A5">
        <w:rPr>
          <w:rStyle w:val="FootnoteReference"/>
        </w:rPr>
        <w:footnoteReference w:id="2"/>
      </w:r>
    </w:p>
    <w:p w14:paraId="6F4899A9" w14:textId="1C7C9B43" w:rsidR="00D457E6" w:rsidRDefault="00D457E6" w:rsidP="00D457E6">
      <w:pPr>
        <w:spacing w:line="480" w:lineRule="auto"/>
        <w:ind w:firstLine="720"/>
      </w:pPr>
      <w:r>
        <w:t>The last two are proposed by Schmitter and Karl to account for other practical issues a democracy might face. The</w:t>
      </w:r>
      <w:r w:rsidR="009248A5">
        <w:t>y are the following:</w:t>
      </w:r>
    </w:p>
    <w:p w14:paraId="20E1CD5D" w14:textId="65878690" w:rsidR="00D457E6" w:rsidRDefault="00D457E6" w:rsidP="00D457E6">
      <w:pPr>
        <w:spacing w:line="480" w:lineRule="auto"/>
        <w:ind w:firstLine="720"/>
      </w:pPr>
      <w:r w:rsidRPr="00D457E6">
        <w:t>8) Popularly elected officials must be able to exercise their constitutional powers without being subjected to overriding (albeit informal) opposition from unelected officials.</w:t>
      </w:r>
    </w:p>
    <w:p w14:paraId="5F8D9670" w14:textId="2D2C6272" w:rsidR="00D457E6" w:rsidRDefault="009248A5" w:rsidP="00D457E6">
      <w:pPr>
        <w:spacing w:line="480" w:lineRule="auto"/>
        <w:ind w:firstLine="720"/>
      </w:pPr>
      <w:r w:rsidRPr="009248A5">
        <w:t>9) The polity must be self-governing; it must be able to act independently of constraints imposed by some other overarching political system.</w:t>
      </w:r>
      <w:r>
        <w:rPr>
          <w:rStyle w:val="FootnoteReference"/>
        </w:rPr>
        <w:footnoteReference w:id="3"/>
      </w:r>
    </w:p>
    <w:p w14:paraId="59CE58CE" w14:textId="181F1983" w:rsidR="00A84B33" w:rsidRDefault="003800ED" w:rsidP="00D20C94">
      <w:pPr>
        <w:spacing w:line="480" w:lineRule="auto"/>
        <w:ind w:firstLine="720"/>
      </w:pPr>
      <w:r w:rsidRPr="00550CB5">
        <w:t xml:space="preserve">Schmitter and Karl provide for the disenfranchisement of some individuals that would still allow a nation to fall under the category of democracy, stating that elections must be open to “practically” all individuals. However, </w:t>
      </w:r>
      <w:r w:rsidR="008F0432" w:rsidRPr="00550CB5">
        <w:t xml:space="preserve">with nearly all states having some system of disenfranchising felons, </w:t>
      </w:r>
      <w:r w:rsidR="00A16601">
        <w:t xml:space="preserve">is </w:t>
      </w:r>
      <w:r w:rsidR="008F0432" w:rsidRPr="00550CB5">
        <w:t>the number of individuals unable to vote due to felon status a</w:t>
      </w:r>
      <w:r w:rsidR="00B449BF" w:rsidRPr="00550CB5">
        <w:t xml:space="preserve">lone </w:t>
      </w:r>
      <w:r w:rsidR="00C87963">
        <w:t xml:space="preserve">significantly large enough to </w:t>
      </w:r>
      <w:r w:rsidR="00B449BF" w:rsidRPr="00550CB5">
        <w:t xml:space="preserve">exceed the procedural minimum necessary for </w:t>
      </w:r>
      <w:r w:rsidR="00A16601">
        <w:t xml:space="preserve">democracy and </w:t>
      </w:r>
      <w:r w:rsidR="00A926D2">
        <w:t xml:space="preserve">threaten the </w:t>
      </w:r>
      <w:r w:rsidR="00B449BF" w:rsidRPr="00550CB5">
        <w:t>legitima</w:t>
      </w:r>
      <w:r w:rsidR="00A926D2">
        <w:t xml:space="preserve">cy of the </w:t>
      </w:r>
      <w:r w:rsidR="00B449BF" w:rsidRPr="00550CB5">
        <w:t>democra</w:t>
      </w:r>
      <w:r w:rsidR="00A926D2">
        <w:t xml:space="preserve">tic regime? </w:t>
      </w:r>
    </w:p>
    <w:p w14:paraId="01D78F98" w14:textId="310E1B84" w:rsidR="00D20C94" w:rsidRDefault="00D20C94" w:rsidP="00D20C94">
      <w:pPr>
        <w:spacing w:line="480" w:lineRule="auto"/>
        <w:ind w:firstLine="720"/>
      </w:pPr>
      <w:r w:rsidRPr="00550CB5">
        <w:t>Felon disenfranchisement is the process of removing political rights from citizens who have been convicted of a felony.</w:t>
      </w:r>
      <w:r>
        <w:t xml:space="preserve"> Alarmingly, according to the Christopher </w:t>
      </w:r>
      <w:proofErr w:type="spellStart"/>
      <w:r>
        <w:t>Uggen</w:t>
      </w:r>
      <w:proofErr w:type="spellEnd"/>
      <w:r>
        <w:t xml:space="preserve">, a researcher for the Sentencing Project, approximately 6.1 million Americans are unable to vote as a result of </w:t>
      </w:r>
      <w:r>
        <w:lastRenderedPageBreak/>
        <w:t>felony convictions</w:t>
      </w:r>
      <w:r w:rsidR="00FA468D">
        <w:t>.</w:t>
      </w:r>
      <w:r>
        <w:rPr>
          <w:rStyle w:val="FootnoteReference"/>
        </w:rPr>
        <w:footnoteReference w:id="4"/>
      </w:r>
      <w:r>
        <w:t xml:space="preserve"> This translates to</w:t>
      </w:r>
      <w:r w:rsidRPr="002C24A0">
        <w:t xml:space="preserve"> approximately 2.5 percent of the total U.S. voting age population </w:t>
      </w:r>
      <w:r>
        <w:t>being barred from participating in elections. The issue, brought to public spotlight due to recent political rhetoric, has been the subject of national scrutiny due to its widespread nature.</w:t>
      </w:r>
    </w:p>
    <w:p w14:paraId="63E61C77" w14:textId="5F11AC86" w:rsidR="004A51E0" w:rsidRPr="00550CB5" w:rsidRDefault="004A51E0" w:rsidP="00D20C94">
      <w:pPr>
        <w:spacing w:line="480" w:lineRule="auto"/>
        <w:ind w:firstLine="720"/>
      </w:pPr>
      <w:r>
        <w:t>Felon disenfranchisement is especially problematic in the age of mass incarceration.</w:t>
      </w:r>
      <w:r w:rsidR="0098345E">
        <w:t xml:space="preserve"> As prison populations in the United States continue to climb, more and more Americans</w:t>
      </w:r>
      <w:r w:rsidR="00EA3432">
        <w:t xml:space="preserve"> are</w:t>
      </w:r>
      <w:r w:rsidR="0098345E">
        <w:t xml:space="preserve"> los</w:t>
      </w:r>
      <w:r w:rsidR="00EA3432">
        <w:t>ing</w:t>
      </w:r>
      <w:r w:rsidR="0098345E">
        <w:t xml:space="preserve"> the right to vote. </w:t>
      </w:r>
      <w:r w:rsidR="00EA3432">
        <w:t>As discussed later in this paper, mass incarceration can be used within a political system to manipulate the voting population</w:t>
      </w:r>
      <w:r w:rsidR="0024632E">
        <w:t xml:space="preserve"> in order to keep one </w:t>
      </w:r>
      <w:r w:rsidR="00E241BA">
        <w:t>party or race</w:t>
      </w:r>
      <w:r w:rsidR="0024632E">
        <w:t xml:space="preserve"> in power while limiting the power of the other part</w:t>
      </w:r>
      <w:r w:rsidR="00E241BA">
        <w:t>ies or races</w:t>
      </w:r>
      <w:r w:rsidR="00EA3432">
        <w:t xml:space="preserve">. The weaponization of the legal system can </w:t>
      </w:r>
      <w:r w:rsidR="00E851CF">
        <w:t xml:space="preserve">erode </w:t>
      </w:r>
      <w:r w:rsidR="00EA3432">
        <w:t xml:space="preserve">democratic legitimacy </w:t>
      </w:r>
      <w:r w:rsidR="006F2254">
        <w:t>as political representatives</w:t>
      </w:r>
      <w:r w:rsidR="00EA3432">
        <w:t xml:space="preserve"> </w:t>
      </w:r>
      <w:r w:rsidR="006F2254">
        <w:t>are</w:t>
      </w:r>
      <w:r w:rsidR="00EA3432">
        <w:t xml:space="preserve"> not </w:t>
      </w:r>
      <w:r w:rsidR="00C35FA2">
        <w:t xml:space="preserve">voted in </w:t>
      </w:r>
      <w:r w:rsidR="00EA3432">
        <w:t xml:space="preserve">by </w:t>
      </w:r>
      <w:r w:rsidR="00C35FA2">
        <w:t xml:space="preserve">the complete </w:t>
      </w:r>
      <w:r w:rsidR="00EA3432">
        <w:t xml:space="preserve">electorate. </w:t>
      </w:r>
    </w:p>
    <w:p w14:paraId="75B2E28E" w14:textId="1E6FF677" w:rsidR="00550CB5" w:rsidRDefault="00550CB5" w:rsidP="00550CB5">
      <w:pPr>
        <w:spacing w:line="480" w:lineRule="auto"/>
        <w:ind w:firstLine="720"/>
      </w:pPr>
      <w:r w:rsidRPr="000F2EA9">
        <w:t>Importantly, as explained by Christopher Bennett in his research regarding this subject, a standard system of citizenship is necessary to establish a civilian voting class</w:t>
      </w:r>
      <w:r w:rsidR="006F16EC">
        <w:t>.</w:t>
      </w:r>
      <w:r w:rsidRPr="000F2EA9">
        <w:rPr>
          <w:rStyle w:val="FootnoteReference"/>
        </w:rPr>
        <w:footnoteReference w:id="5"/>
      </w:r>
      <w:r w:rsidR="000F2EA9">
        <w:t xml:space="preserve"> This is relevant for a variety of reasons. First, each of the three theories</w:t>
      </w:r>
      <w:r w:rsidR="004A51E0">
        <w:t xml:space="preserve"> discussed later in this </w:t>
      </w:r>
      <w:r w:rsidR="002F7D76">
        <w:t>paper</w:t>
      </w:r>
      <w:r w:rsidR="000F2EA9">
        <w:t>, especially the citizenship theory, require</w:t>
      </w:r>
      <w:r w:rsidR="00876335">
        <w:t>s</w:t>
      </w:r>
      <w:r w:rsidR="000F2EA9">
        <w:t xml:space="preserve"> some standard for determining who can participate in electoral processes. Second, citizens</w:t>
      </w:r>
      <w:r w:rsidR="00BF2B26">
        <w:t>hip rights</w:t>
      </w:r>
      <w:r w:rsidR="00F16179">
        <w:t xml:space="preserve"> affect an individual’s belonging to a polity and might undermine the social unity of democratic societies. </w:t>
      </w:r>
      <w:r w:rsidR="000F2EA9">
        <w:t xml:space="preserve"> Finally, a</w:t>
      </w:r>
      <w:r w:rsidR="0024632E">
        <w:t xml:space="preserve"> standard </w:t>
      </w:r>
      <w:r w:rsidR="000F2EA9">
        <w:t xml:space="preserve">system of citizenship ensures fairness. If the system were </w:t>
      </w:r>
      <w:r w:rsidR="00E2722C">
        <w:t>unfair</w:t>
      </w:r>
      <w:r w:rsidR="000F2EA9">
        <w:t xml:space="preserve">, democratic legitimacy would be </w:t>
      </w:r>
      <w:r w:rsidR="00ED1F5D">
        <w:t xml:space="preserve">undermined </w:t>
      </w:r>
      <w:r w:rsidR="000F2EA9">
        <w:t xml:space="preserve">because any of the procedural minimums for democracy could be </w:t>
      </w:r>
      <w:r w:rsidR="005D003D">
        <w:t>threatened</w:t>
      </w:r>
      <w:r w:rsidR="000F2EA9">
        <w:t>.</w:t>
      </w:r>
    </w:p>
    <w:p w14:paraId="63F74E3A" w14:textId="77777777" w:rsidR="002D58F6" w:rsidRDefault="002D58F6" w:rsidP="00C906E3">
      <w:pPr>
        <w:spacing w:line="480" w:lineRule="auto"/>
        <w:rPr>
          <w:b/>
        </w:rPr>
      </w:pPr>
    </w:p>
    <w:p w14:paraId="1ECAC6BE" w14:textId="011A2B2F" w:rsidR="002F4690" w:rsidRPr="00C906E3" w:rsidRDefault="00A84B33" w:rsidP="00C906E3">
      <w:pPr>
        <w:spacing w:line="480" w:lineRule="auto"/>
        <w:rPr>
          <w:b/>
        </w:rPr>
      </w:pPr>
      <w:bookmarkStart w:id="0" w:name="_GoBack"/>
      <w:bookmarkEnd w:id="0"/>
      <w:r w:rsidRPr="00550CB5">
        <w:rPr>
          <w:b/>
        </w:rPr>
        <w:lastRenderedPageBreak/>
        <w:t>Theories</w:t>
      </w:r>
      <w:r w:rsidR="00117EEF">
        <w:rPr>
          <w:b/>
        </w:rPr>
        <w:t xml:space="preserve"> &amp; Legality</w:t>
      </w:r>
      <w:r w:rsidRPr="00550CB5">
        <w:rPr>
          <w:b/>
        </w:rPr>
        <w:t xml:space="preserve"> of Felon Disenfranchisement</w:t>
      </w:r>
      <w:r w:rsidR="00B449BF" w:rsidRPr="00550CB5">
        <w:t xml:space="preserve"> </w:t>
      </w:r>
    </w:p>
    <w:p w14:paraId="7D654322" w14:textId="156EC11F" w:rsidR="002A743C" w:rsidRPr="00550CB5" w:rsidRDefault="002A743C" w:rsidP="00DD117F">
      <w:pPr>
        <w:spacing w:line="480" w:lineRule="auto"/>
        <w:ind w:firstLine="720"/>
      </w:pPr>
      <w:r w:rsidRPr="00550CB5">
        <w:t xml:space="preserve">The </w:t>
      </w:r>
      <w:r w:rsidR="00BF5FC4">
        <w:t xml:space="preserve">current </w:t>
      </w:r>
      <w:r w:rsidR="00A84B33" w:rsidRPr="00550CB5">
        <w:t>schools of thought regarding</w:t>
      </w:r>
      <w:r w:rsidRPr="00550CB5">
        <w:t xml:space="preserve"> felon disenfranchisement can be sorted into three distinct, yet related, perspectives: the citizenship theory, the social contract theory, and the self-determination theory. The three theories have the same general purpose, which is that they attempt to provide an explanation for the legality of withholding the right to vote from felons. In addition, </w:t>
      </w:r>
      <w:r w:rsidR="0024632E">
        <w:t>the social contract theory and the self-determination theory</w:t>
      </w:r>
      <w:r w:rsidRPr="00550CB5">
        <w:t xml:space="preserve"> present felon disenfranchisement as a means of retributive punishment rather than rehabilitation. </w:t>
      </w:r>
      <w:r w:rsidR="0024632E">
        <w:t xml:space="preserve">In other words, the goal of felon disenfranchisement would be to punish offenders rather than reform them. </w:t>
      </w:r>
      <w:r w:rsidR="006072A9">
        <w:t>E</w:t>
      </w:r>
      <w:r w:rsidRPr="00550CB5">
        <w:t xml:space="preserve">ach theory </w:t>
      </w:r>
      <w:r w:rsidR="006072A9">
        <w:t xml:space="preserve">provides </w:t>
      </w:r>
      <w:r w:rsidR="007353A2">
        <w:t xml:space="preserve">different arguments to </w:t>
      </w:r>
      <w:r w:rsidR="0024632E">
        <w:t>explain</w:t>
      </w:r>
      <w:r w:rsidRPr="00550CB5">
        <w:t xml:space="preserve"> the practice</w:t>
      </w:r>
      <w:r w:rsidR="00A45DF7">
        <w:t xml:space="preserve"> from a democratic p</w:t>
      </w:r>
      <w:r w:rsidR="00B25431">
        <w:t xml:space="preserve">oint of view. </w:t>
      </w:r>
    </w:p>
    <w:p w14:paraId="1A281E27" w14:textId="13849FE4" w:rsidR="004D2E14" w:rsidRDefault="004D2E14" w:rsidP="004D2E14">
      <w:pPr>
        <w:spacing w:line="480" w:lineRule="auto"/>
        <w:ind w:firstLine="720"/>
      </w:pPr>
      <w:r w:rsidRPr="00550CB5">
        <w:t xml:space="preserve">The first theory surrounding felon disenfranchisement, the citizenship theory, argues that felon disenfranchisement is </w:t>
      </w:r>
      <w:r w:rsidR="00550CB5" w:rsidRPr="00550CB5">
        <w:t xml:space="preserve">fundamentally </w:t>
      </w:r>
      <w:r w:rsidR="00EA3432">
        <w:t>in conflict with the United States Constitution.</w:t>
      </w:r>
      <w:r w:rsidRPr="00550CB5">
        <w:t xml:space="preserve"> This perspective questions the practice on the grounds that all citizens in the United States have the right to vote on the basis of their citizenship. </w:t>
      </w:r>
      <w:r w:rsidR="00550CB5" w:rsidRPr="00550CB5">
        <w:t xml:space="preserve">Just because an inmate has committed a serious crime, it is argued, </w:t>
      </w:r>
      <w:r w:rsidR="005E4ED8">
        <w:t xml:space="preserve">it </w:t>
      </w:r>
      <w:r w:rsidR="00550CB5" w:rsidRPr="00550CB5">
        <w:t>does not mean he or she has forfeited civil liberties inherently granted by the Constitution. If a given American’s very citizenship can be called into question by committing a felony, the citizenship component of democracy cannot be met, and thus the democratic legitimacy of the United States is weakened.</w:t>
      </w:r>
    </w:p>
    <w:p w14:paraId="28399A1B" w14:textId="41DFAE41" w:rsidR="00791BBE" w:rsidRDefault="0027100D" w:rsidP="001A6808">
      <w:pPr>
        <w:spacing w:line="480" w:lineRule="auto"/>
        <w:ind w:firstLine="720"/>
      </w:pPr>
      <w:r>
        <w:t>Marc Mauer, Executive Director of The Sentencing Project, argued that even in the cases of the most severe punishments, Americans convicted of crimes still enjoy the same citizenship rights. A death row inmate does not lose his or her ability to speak freely, and a person sentenced to life without parole is still able to marry, divorce, and buy property. “</w:t>
      </w:r>
      <w:r w:rsidRPr="0027100D">
        <w:t xml:space="preserve">Democracy means that </w:t>
      </w:r>
      <w:r w:rsidRPr="0027100D">
        <w:lastRenderedPageBreak/>
        <w:t>we allow everyone to have their say</w:t>
      </w:r>
      <w:r>
        <w:t>” regardless of felony-defined “bad character,” Mauer asserted.</w:t>
      </w:r>
      <w:r>
        <w:rPr>
          <w:rStyle w:val="FootnoteReference"/>
        </w:rPr>
        <w:footnoteReference w:id="6"/>
      </w:r>
    </w:p>
    <w:p w14:paraId="44029CD5" w14:textId="3424A8C4" w:rsidR="00117EEF" w:rsidRDefault="00E25A1F" w:rsidP="00117EEF">
      <w:pPr>
        <w:spacing w:line="480" w:lineRule="auto"/>
        <w:ind w:firstLine="720"/>
      </w:pPr>
      <w:r>
        <w:t>Second</w:t>
      </w:r>
      <w:r w:rsidR="00B4344F">
        <w:t xml:space="preserve">, the social contract theory, argues in favor of felon disenfranchisement. </w:t>
      </w:r>
      <w:r w:rsidR="00AE7E18">
        <w:t>P</w:t>
      </w:r>
      <w:r w:rsidR="004A143D">
        <w:t>roponents of th</w:t>
      </w:r>
      <w:r w:rsidR="00AE7E18">
        <w:t>is</w:t>
      </w:r>
      <w:r w:rsidR="004A143D">
        <w:t xml:space="preserve"> </w:t>
      </w:r>
      <w:r w:rsidR="00AE7E18">
        <w:t>theory</w:t>
      </w:r>
      <w:r w:rsidR="004A143D">
        <w:t xml:space="preserve"> argue that Americans agree to terms and conditions of the Constitution, the American social contract, by virtue of their residence in the United States. However, because felons have violated the social contract, </w:t>
      </w:r>
      <w:r w:rsidR="00EC12DC">
        <w:t xml:space="preserve">the argument goes, </w:t>
      </w:r>
      <w:r w:rsidR="00BC7E2B">
        <w:t>the rights granted by the Constitution, including the right to vote, are no longer afforded to them. Thus, felon disenfranchisement is not only legal; it’s a logical consequence for breach of contract.</w:t>
      </w:r>
    </w:p>
    <w:p w14:paraId="30DCEFDE" w14:textId="3B751631" w:rsidR="00C1193A" w:rsidRDefault="00D34995" w:rsidP="00117EEF">
      <w:pPr>
        <w:spacing w:line="480" w:lineRule="auto"/>
        <w:ind w:firstLine="720"/>
      </w:pPr>
      <w:r>
        <w:t xml:space="preserve">Credit goes to John Locke for creating the foundations of the social contract theory. In his work entitled “Second Treatise on Civil Government,” Locke claimed that people are born with natural rights, but they give up these rights in order to participate in </w:t>
      </w:r>
      <w:r w:rsidR="00BE103D">
        <w:t xml:space="preserve">a secure </w:t>
      </w:r>
      <w:r>
        <w:t>civil society and protect</w:t>
      </w:r>
      <w:r w:rsidR="00BE103D">
        <w:t xml:space="preserve"> their property.</w:t>
      </w:r>
      <w:r w:rsidR="00BE103D">
        <w:rPr>
          <w:rStyle w:val="FootnoteReference"/>
        </w:rPr>
        <w:footnoteReference w:id="7"/>
      </w:r>
      <w:r w:rsidR="00BE103D">
        <w:t xml:space="preserve"> By giving up certain rights, for example the right to steal from others, in exchange for protection of their own rights, people join the social contract. Locke’s foundations for this theory are used to justify felon disenfranchisement as it is currently used.</w:t>
      </w:r>
    </w:p>
    <w:p w14:paraId="1D757CD4" w14:textId="3F9ED211" w:rsidR="00BE103D" w:rsidRDefault="00913AD1" w:rsidP="00BE103D">
      <w:pPr>
        <w:spacing w:line="480" w:lineRule="auto"/>
        <w:ind w:firstLine="720"/>
      </w:pPr>
      <w:r>
        <w:t>There are two main perspectives within the social contract theory. First, it has been claimed that violating the law automatically causes the forfeiture of all civic rights</w:t>
      </w:r>
      <w:r w:rsidR="002D45A1">
        <w:t xml:space="preserve">, which is an argument cited by many scholars on the subject, including Christopher Bennett and Michael </w:t>
      </w:r>
      <w:proofErr w:type="spellStart"/>
      <w:r w:rsidR="002D45A1">
        <w:t>Cholbi</w:t>
      </w:r>
      <w:proofErr w:type="spellEnd"/>
      <w:r>
        <w:t xml:space="preserve">. This is problematic, according to </w:t>
      </w:r>
      <w:r w:rsidR="00B519F1">
        <w:t xml:space="preserve">Christopher </w:t>
      </w:r>
      <w:r>
        <w:t xml:space="preserve">Bennett, because it implies that the state </w:t>
      </w:r>
      <w:r>
        <w:rPr>
          <w:i/>
        </w:rPr>
        <w:t>should</w:t>
      </w:r>
      <w:r>
        <w:t xml:space="preserve"> remove rights of felons when it is simply the case that they </w:t>
      </w:r>
      <w:r>
        <w:rPr>
          <w:i/>
        </w:rPr>
        <w:t>could</w:t>
      </w:r>
      <w:r w:rsidR="00533602">
        <w:rPr>
          <w:i/>
        </w:rPr>
        <w:t>.</w:t>
      </w:r>
      <w:r w:rsidR="007D764C">
        <w:rPr>
          <w:rStyle w:val="FootnoteReference"/>
          <w:i/>
        </w:rPr>
        <w:footnoteReference w:id="8"/>
      </w:r>
      <w:r w:rsidR="002D45A1">
        <w:t xml:space="preserve"> </w:t>
      </w:r>
      <w:r>
        <w:t xml:space="preserve">The second argument </w:t>
      </w:r>
      <w:r>
        <w:lastRenderedPageBreak/>
        <w:t xml:space="preserve">for the social contract theory revolves around the idea that felons forfeit only the rights that they themselves have violated. As Bennett states, this argument is </w:t>
      </w:r>
      <w:r w:rsidR="009110F0">
        <w:t xml:space="preserve">also </w:t>
      </w:r>
      <w:r>
        <w:t>flawed</w:t>
      </w:r>
      <w:r w:rsidR="00EF7CEB">
        <w:t xml:space="preserve"> </w:t>
      </w:r>
      <w:r>
        <w:t>because it is morally detestable (for example, rapists would forfeit the right to not get raped).</w:t>
      </w:r>
      <w:r w:rsidR="007035ED">
        <w:t xml:space="preserve"> In addition, this argument does not apply to felon disenfranchisement unless the felon has stripped the right to vote from another person; otherwise, the crime and punishment are different. </w:t>
      </w:r>
    </w:p>
    <w:p w14:paraId="1A97BF75" w14:textId="324ADDC5" w:rsidR="002D45A1" w:rsidRPr="007D49A3" w:rsidRDefault="007D49A3" w:rsidP="00BE103D">
      <w:pPr>
        <w:spacing w:line="480" w:lineRule="auto"/>
        <w:ind w:firstLine="720"/>
      </w:pPr>
      <w:r>
        <w:t xml:space="preserve">Many opponents of the social contract theory present the argument that felon disenfranchisement is a practice that serves strictly as retributive punishment. Michael </w:t>
      </w:r>
      <w:proofErr w:type="spellStart"/>
      <w:r>
        <w:t>Cholbi</w:t>
      </w:r>
      <w:proofErr w:type="spellEnd"/>
      <w:r>
        <w:t xml:space="preserve"> refuted some of the previously mentioned arguments presented by social contract theorists in his 2002 </w:t>
      </w:r>
      <w:r>
        <w:rPr>
          <w:i/>
        </w:rPr>
        <w:t xml:space="preserve">Law and Philosophy </w:t>
      </w:r>
      <w:r>
        <w:t>article. He emphasized that felon disenfranchisement is not justified under the social contract theory because “liberal democracies should not disenfranchise their citizens as a punishment for criminal behavior.”</w:t>
      </w:r>
      <w:r>
        <w:rPr>
          <w:rStyle w:val="FootnoteReference"/>
        </w:rPr>
        <w:footnoteReference w:id="9"/>
      </w:r>
      <w:r>
        <w:t xml:space="preserve"> The social contract theory fails to take into account the retributive nature of felon disenfranchisement. </w:t>
      </w:r>
    </w:p>
    <w:p w14:paraId="44DD2A23" w14:textId="70F43A98" w:rsidR="00BE1F4B" w:rsidRDefault="004A143D" w:rsidP="00BE1F4B">
      <w:pPr>
        <w:spacing w:line="480" w:lineRule="auto"/>
        <w:ind w:firstLine="720"/>
      </w:pPr>
      <w:r w:rsidRPr="00550CB5">
        <w:t xml:space="preserve">Proponents of </w:t>
      </w:r>
      <w:r w:rsidR="00913AD1">
        <w:t>social contract theory</w:t>
      </w:r>
      <w:r w:rsidRPr="00550CB5">
        <w:t xml:space="preserve"> in the United States argue that the practice is constitutional based on the Fourteenth Amendment. Specifically, many scholars reason that felon disenfranchisement is covered under </w:t>
      </w:r>
      <w:r w:rsidR="00BC7E2B">
        <w:t>S</w:t>
      </w:r>
      <w:r w:rsidRPr="00550CB5">
        <w:t xml:space="preserve">ection </w:t>
      </w:r>
      <w:r w:rsidR="00BC7E2B">
        <w:t>T</w:t>
      </w:r>
      <w:r w:rsidRPr="00550CB5">
        <w:t>wo of the Amendment, which states that “[w]hen the right to vote at any election… is denied to any of the [citizens] of such State or is in any way abridged, except for participation in rebellion, or other crime, the basis of representation therein shall be reduced.” The United States Supreme Court interpreted this section to give an “affirmative sanction” to the practice in</w:t>
      </w:r>
      <w:r w:rsidR="00F05E8E">
        <w:t xml:space="preserve"> its decision</w:t>
      </w:r>
      <w:r w:rsidR="00861B13">
        <w:t>,</w:t>
      </w:r>
      <w:r w:rsidRPr="00550CB5">
        <w:t xml:space="preserve"> </w:t>
      </w:r>
      <w:r w:rsidRPr="00550CB5">
        <w:rPr>
          <w:i/>
        </w:rPr>
        <w:t xml:space="preserve">Richardson v Ramirez </w:t>
      </w:r>
      <w:r w:rsidRPr="00550CB5">
        <w:t>(1974)</w:t>
      </w:r>
      <w:r w:rsidR="00D00E31">
        <w:t>.</w:t>
      </w:r>
      <w:r w:rsidR="00BC7E2B">
        <w:rPr>
          <w:rStyle w:val="FootnoteReference"/>
        </w:rPr>
        <w:footnoteReference w:id="10"/>
      </w:r>
    </w:p>
    <w:p w14:paraId="491996A3" w14:textId="0EFCB8B1" w:rsidR="00913AD1" w:rsidRDefault="004A143D" w:rsidP="00BE1F4B">
      <w:pPr>
        <w:spacing w:line="480" w:lineRule="auto"/>
        <w:ind w:firstLine="720"/>
      </w:pPr>
      <w:r w:rsidRPr="00550CB5">
        <w:t xml:space="preserve">In this respect, proponents are correct that the practice is constitutionally upheld, but neglect to consider </w:t>
      </w:r>
      <w:r w:rsidR="000F119C">
        <w:t xml:space="preserve">other potential interpretations </w:t>
      </w:r>
      <w:r w:rsidRPr="00550CB5">
        <w:t xml:space="preserve">of the Constitution. Importantly, the language </w:t>
      </w:r>
      <w:r w:rsidRPr="00550CB5">
        <w:lastRenderedPageBreak/>
        <w:t xml:space="preserve">of Section II of the Fourteenth Amendment groups together high treason, like rebellion, with “other crimes.” On this basis, many </w:t>
      </w:r>
      <w:r>
        <w:t>supporters</w:t>
      </w:r>
      <w:r w:rsidRPr="00550CB5">
        <w:t xml:space="preserve"> of the practice argue that this section of the Constitution was designed to allow the government to disenfranchise those who betrayed the United States, and therefore rejected the Constitution. </w:t>
      </w:r>
    </w:p>
    <w:p w14:paraId="292192B0" w14:textId="582A0D7F" w:rsidR="00BE1F4B" w:rsidRDefault="00BE1F4B" w:rsidP="00BE1F4B">
      <w:pPr>
        <w:spacing w:line="480" w:lineRule="auto"/>
        <w:ind w:firstLine="720"/>
      </w:pPr>
      <w:r w:rsidRPr="000F119C">
        <w:t xml:space="preserve">The United States Court of Appeals, Fifth Circuit used the social contract theory in its reasoning for declaring legitimate state interest in the practice in </w:t>
      </w:r>
      <w:r w:rsidRPr="000F119C">
        <w:rPr>
          <w:i/>
        </w:rPr>
        <w:t>Shepherd v Trevino</w:t>
      </w:r>
      <w:r w:rsidRPr="000F119C">
        <w:t>. The court declared that those that have committed felonies “have breached the social contract and, like insane persons, have raised questions about their ability to vote responsibly.”</w:t>
      </w:r>
      <w:r w:rsidRPr="000F119C">
        <w:rPr>
          <w:rStyle w:val="FootnoteReference"/>
        </w:rPr>
        <w:footnoteReference w:id="11"/>
      </w:r>
      <w:r w:rsidRPr="000F119C">
        <w:t xml:space="preserve"> </w:t>
      </w:r>
      <w:r w:rsidR="000F119C" w:rsidRPr="000F119C">
        <w:t xml:space="preserve">Disregarding the questionable reasoning of allowing the practice on the basis of felons’ so-called lack of “ability to vote </w:t>
      </w:r>
      <w:proofErr w:type="spellStart"/>
      <w:r w:rsidR="000F119C" w:rsidRPr="000F119C">
        <w:t>responsibily</w:t>
      </w:r>
      <w:proofErr w:type="spellEnd"/>
      <w:r w:rsidR="000F119C" w:rsidRPr="000F119C">
        <w:t>,” the court recognized that breach of the social contract is in and of itself enough to justify the practice.</w:t>
      </w:r>
    </w:p>
    <w:p w14:paraId="7AAD4E7E" w14:textId="7D6B2E02" w:rsidR="001A6808" w:rsidRDefault="001A6808" w:rsidP="00BE1F4B">
      <w:pPr>
        <w:spacing w:line="480" w:lineRule="auto"/>
        <w:ind w:firstLine="720"/>
      </w:pPr>
      <w:r>
        <w:t xml:space="preserve">Perhaps the most common </w:t>
      </w:r>
      <w:r w:rsidR="00CC361B">
        <w:t xml:space="preserve">rebuttal of the social contract theory </w:t>
      </w:r>
      <w:r w:rsidR="0061066D">
        <w:t>is</w:t>
      </w:r>
      <w:r w:rsidR="00CC361B">
        <w:t xml:space="preserve"> explained by Jason </w:t>
      </w:r>
      <w:proofErr w:type="spellStart"/>
      <w:r w:rsidR="00CC361B">
        <w:t>Schall</w:t>
      </w:r>
      <w:proofErr w:type="spellEnd"/>
      <w:r w:rsidR="00CC361B">
        <w:t xml:space="preserve">. As </w:t>
      </w:r>
      <w:proofErr w:type="spellStart"/>
      <w:r w:rsidR="00CC361B">
        <w:t>Schall</w:t>
      </w:r>
      <w:proofErr w:type="spellEnd"/>
      <w:r w:rsidR="00CC361B">
        <w:t xml:space="preserve"> noted, the use of </w:t>
      </w:r>
      <w:r w:rsidR="00965512">
        <w:t xml:space="preserve">the </w:t>
      </w:r>
      <w:r w:rsidR="00CC361B">
        <w:t>social contract theory does not justify felon disenfranchisement because the individual committing the felony “</w:t>
      </w:r>
      <w:r w:rsidR="00CC361B" w:rsidRPr="00CC361B">
        <w:t>continues to be bound by the terms of the contract even after being stripped of the ability to take part in political decisions</w:t>
      </w:r>
      <w:r w:rsidR="00CC361B">
        <w:t>.”</w:t>
      </w:r>
      <w:r w:rsidR="00CC361B">
        <w:rPr>
          <w:rStyle w:val="FootnoteReference"/>
        </w:rPr>
        <w:footnoteReference w:id="12"/>
      </w:r>
      <w:r w:rsidR="00CC361B">
        <w:t xml:space="preserve"> Felons do not have the option to opt out of the social contract. Instead, they are bound by society’s rules and laws</w:t>
      </w:r>
      <w:r w:rsidR="006430BF">
        <w:t xml:space="preserve"> and unable to take part in the process to formulate them. </w:t>
      </w:r>
    </w:p>
    <w:p w14:paraId="3BA21106" w14:textId="7F8BC74A" w:rsidR="00BC7E2B" w:rsidRDefault="00BC7E2B" w:rsidP="004A143D">
      <w:pPr>
        <w:spacing w:line="480" w:lineRule="auto"/>
        <w:ind w:firstLine="720"/>
      </w:pPr>
      <w:r>
        <w:t xml:space="preserve">The final theory, the self-determination theory, </w:t>
      </w:r>
      <w:r w:rsidR="00CE644E">
        <w:t xml:space="preserve">argues that felon disenfranchisement is in fact a consequence of democratic legitimacy. Under this theory, proponents </w:t>
      </w:r>
      <w:r w:rsidR="009F2A37">
        <w:t xml:space="preserve">claim that the people of a nation have the collective right to democratically determine who can and cannot vote. Because elected leaders are the ones </w:t>
      </w:r>
      <w:r w:rsidR="00E16408">
        <w:t xml:space="preserve">advancing felon disenfranchisement, self-determination </w:t>
      </w:r>
      <w:r w:rsidR="00E16408">
        <w:lastRenderedPageBreak/>
        <w:t xml:space="preserve">theorists </w:t>
      </w:r>
      <w:r w:rsidR="00EF7069">
        <w:t>argue</w:t>
      </w:r>
      <w:r w:rsidR="00E16408">
        <w:t xml:space="preserve"> that denying certain individuals the right to vote is not anti-democratic, but rather the practice is just a product of democratic functioning. Denying the </w:t>
      </w:r>
      <w:proofErr w:type="gramStart"/>
      <w:r w:rsidR="00E16408">
        <w:t>people</w:t>
      </w:r>
      <w:proofErr w:type="gramEnd"/>
      <w:r w:rsidR="00E16408">
        <w:t xml:space="preserve"> the right to determine enfranchisement would instead harm democratic legitimacy under this theory.</w:t>
      </w:r>
    </w:p>
    <w:p w14:paraId="549277EE" w14:textId="1360A40D" w:rsidR="002F7C59" w:rsidRDefault="002F7C59" w:rsidP="000F119C">
      <w:pPr>
        <w:spacing w:line="480" w:lineRule="auto"/>
        <w:ind w:firstLine="720"/>
      </w:pPr>
      <w:r>
        <w:t xml:space="preserve">One </w:t>
      </w:r>
      <w:r w:rsidR="00D56E4D">
        <w:t>such</w:t>
      </w:r>
      <w:r>
        <w:t xml:space="preserve"> </w:t>
      </w:r>
      <w:r w:rsidR="00767F3A">
        <w:t>theorist</w:t>
      </w:r>
      <w:r w:rsidR="00D56E4D">
        <w:t xml:space="preserve">, </w:t>
      </w:r>
      <w:r>
        <w:t>Andrew Altman</w:t>
      </w:r>
      <w:r w:rsidR="00A54AED">
        <w:t xml:space="preserve"> (2005) </w:t>
      </w:r>
      <w:r>
        <w:t>discusses the importance of letting the people of a given democracy decide. He stated that “</w:t>
      </w:r>
      <w:r w:rsidRPr="002F7C59">
        <w:t>a democratic citizenry has a collective right to make its own decision to disenfranchise for the duration of their imprisonment felons who commit serious crimes</w:t>
      </w:r>
      <w:r>
        <w:t xml:space="preserve">. </w:t>
      </w:r>
      <w:r w:rsidRPr="002F7C59">
        <w:t>Such a decision may fall short of some ideal of political virtue, but it is a morally permissible choice for a democratic state to make.</w:t>
      </w:r>
      <w:r>
        <w:t xml:space="preserve">” </w:t>
      </w:r>
      <w:r>
        <w:rPr>
          <w:rStyle w:val="FootnoteReference"/>
        </w:rPr>
        <w:footnoteReference w:id="13"/>
      </w:r>
      <w:r w:rsidR="000F119C">
        <w:t xml:space="preserve"> </w:t>
      </w:r>
      <w:r>
        <w:t>Importantly, Altman</w:t>
      </w:r>
      <w:r w:rsidR="000F119C">
        <w:t xml:space="preserve"> directly</w:t>
      </w:r>
      <w:r>
        <w:t xml:space="preserve"> addresses </w:t>
      </w:r>
      <w:r w:rsidR="000F119C">
        <w:t xml:space="preserve">the </w:t>
      </w:r>
      <w:r>
        <w:t>issue of morality</w:t>
      </w:r>
      <w:r w:rsidR="000F119C">
        <w:t>, which is one that many opponents of the practice raise.</w:t>
      </w:r>
    </w:p>
    <w:p w14:paraId="3443A055" w14:textId="0FEC393B" w:rsidR="00A31852" w:rsidRDefault="002F7C59" w:rsidP="00A31852">
      <w:pPr>
        <w:spacing w:line="480" w:lineRule="auto"/>
        <w:ind w:firstLine="720"/>
      </w:pPr>
      <w:r>
        <w:t>Another</w:t>
      </w:r>
      <w:r w:rsidR="00E241BA">
        <w:t xml:space="preserve"> proponent of this theory is </w:t>
      </w:r>
      <w:r w:rsidR="00A31852" w:rsidRPr="00A31852">
        <w:t xml:space="preserve">William </w:t>
      </w:r>
      <w:proofErr w:type="spellStart"/>
      <w:r w:rsidR="00A31852" w:rsidRPr="00A31852">
        <w:t>Bülow</w:t>
      </w:r>
      <w:proofErr w:type="spellEnd"/>
      <w:r w:rsidR="00A31852">
        <w:t xml:space="preserve">. In his research, </w:t>
      </w:r>
      <w:proofErr w:type="spellStart"/>
      <w:r w:rsidR="00491C99" w:rsidRPr="00A31852">
        <w:t>Bülow</w:t>
      </w:r>
      <w:proofErr w:type="spellEnd"/>
      <w:r w:rsidR="00491C99">
        <w:t xml:space="preserve"> </w:t>
      </w:r>
      <w:r w:rsidR="00A31852">
        <w:t xml:space="preserve">argued that </w:t>
      </w:r>
      <w:r w:rsidR="00E241BA">
        <w:t>“</w:t>
      </w:r>
      <w:r w:rsidR="00A31852">
        <w:t>[b]</w:t>
      </w:r>
      <w:proofErr w:type="spellStart"/>
      <w:r w:rsidR="00E241BA" w:rsidRPr="00E241BA">
        <w:t>eing</w:t>
      </w:r>
      <w:proofErr w:type="spellEnd"/>
      <w:r w:rsidR="00E241BA" w:rsidRPr="00E241BA">
        <w:t xml:space="preserve"> able to decide who should be able to vote is part of the right to affect how the political collective defines itself</w:t>
      </w:r>
      <w:r w:rsidR="00E241BA">
        <w:t>…</w:t>
      </w:r>
      <w:r w:rsidR="00E241BA" w:rsidRPr="00E241BA">
        <w:t xml:space="preserve"> the motivation for this policy is to express the standard of citizenship that defines the democratic collective in question</w:t>
      </w:r>
      <w:r w:rsidR="00E241BA">
        <w:t>.”</w:t>
      </w:r>
      <w:r w:rsidR="00A31852">
        <w:rPr>
          <w:rStyle w:val="FootnoteReference"/>
        </w:rPr>
        <w:footnoteReference w:id="14"/>
      </w:r>
      <w:r w:rsidR="00A31852">
        <w:t xml:space="preserve"> His argument embodies the self-determination theory, but he stresses that felon disenfranchisement cannot be used punitively, but rather as a way to express ideals about citizenship. In this sense, he connects the conflicting ideals of citizenship theory and self-determination.  </w:t>
      </w:r>
    </w:p>
    <w:p w14:paraId="4C141F20" w14:textId="6E5F0BE6" w:rsidR="00A31852" w:rsidRDefault="00FC516B" w:rsidP="00C74F42">
      <w:pPr>
        <w:spacing w:line="480" w:lineRule="auto"/>
        <w:ind w:firstLine="720"/>
      </w:pPr>
      <w:r>
        <w:t>A</w:t>
      </w:r>
      <w:r w:rsidR="00E16408">
        <w:t xml:space="preserve"> refutation of this theory comes from Terrance Ruth, who studied the political representation of three groups: immigrants, the homeless, and felons. </w:t>
      </w:r>
      <w:r w:rsidR="00D20C94">
        <w:t xml:space="preserve">Citing various democratic theorists, </w:t>
      </w:r>
      <w:r w:rsidR="00E16408">
        <w:t xml:space="preserve">Ruth emphasizes the need for political equality among all people who </w:t>
      </w:r>
      <w:r w:rsidR="00CE2BA8">
        <w:t xml:space="preserve">belong to </w:t>
      </w:r>
      <w:r w:rsidR="00E16408">
        <w:t xml:space="preserve">a given polity, including those who are affected by the laws of a given nation but are unable to </w:t>
      </w:r>
      <w:r w:rsidR="00E16408">
        <w:lastRenderedPageBreak/>
        <w:t>participate politically</w:t>
      </w:r>
      <w:r w:rsidR="009C5C30">
        <w:t>.</w:t>
      </w:r>
      <w:r w:rsidR="00E16408">
        <w:rPr>
          <w:rStyle w:val="FootnoteReference"/>
        </w:rPr>
        <w:footnoteReference w:id="15"/>
      </w:r>
      <w:r w:rsidR="00E16408">
        <w:t xml:space="preserve"> The goal of voting, Ruth argues, is to maintain the general will. Thus, when certain populations are unable to vote, the general will is not being represented.</w:t>
      </w:r>
      <w:r w:rsidR="00A31852">
        <w:t xml:space="preserve"> Pamela </w:t>
      </w:r>
      <w:proofErr w:type="spellStart"/>
      <w:r w:rsidR="00A31852">
        <w:t>Karlan</w:t>
      </w:r>
      <w:proofErr w:type="spellEnd"/>
      <w:r w:rsidR="00C74F42">
        <w:t xml:space="preserve"> also</w:t>
      </w:r>
      <w:r w:rsidR="002F7C59">
        <w:t xml:space="preserve"> </w:t>
      </w:r>
      <w:r w:rsidR="00A31852">
        <w:t>note</w:t>
      </w:r>
      <w:r w:rsidR="006663F0">
        <w:t xml:space="preserve">s </w:t>
      </w:r>
      <w:r w:rsidR="00A31852">
        <w:t>that “[o]</w:t>
      </w:r>
      <w:proofErr w:type="spellStart"/>
      <w:r w:rsidR="00A31852" w:rsidRPr="00A31852">
        <w:t>nce</w:t>
      </w:r>
      <w:proofErr w:type="spellEnd"/>
      <w:r w:rsidR="00A31852" w:rsidRPr="00A31852">
        <w:t xml:space="preserve"> voting is understood as a fundamental right, rather than as a state</w:t>
      </w:r>
      <w:r w:rsidR="002F7C59">
        <w:t xml:space="preserve"> </w:t>
      </w:r>
      <w:r w:rsidR="00A31852" w:rsidRPr="00A31852">
        <w:t>created privilege, the essentially punitive nature of criminal disenfranchisement statutes becomes undeniable</w:t>
      </w:r>
      <w:r w:rsidR="00A31852">
        <w:t>.”</w:t>
      </w:r>
      <w:r w:rsidR="00A31852">
        <w:rPr>
          <w:rStyle w:val="FootnoteReference"/>
        </w:rPr>
        <w:footnoteReference w:id="16"/>
      </w:r>
      <w:r w:rsidR="002F7C59">
        <w:t xml:space="preserve"> Her argument places voting as an unalienable right. Consequently, </w:t>
      </w:r>
      <w:r w:rsidR="006663F0">
        <w:t xml:space="preserve">the right to vote cannot be taken through self-determination, because no one can choose to take another’s right to vote away. </w:t>
      </w:r>
      <w:r w:rsidR="002F7C59">
        <w:t xml:space="preserve">In other words, self-determination theory does not apply to felon disenfranchisement the way that it applies to </w:t>
      </w:r>
      <w:r w:rsidR="00A834A5">
        <w:t xml:space="preserve">other </w:t>
      </w:r>
      <w:r w:rsidR="006663F0">
        <w:t>actions</w:t>
      </w:r>
      <w:r w:rsidR="00A834A5">
        <w:t xml:space="preserve">. </w:t>
      </w:r>
    </w:p>
    <w:p w14:paraId="651E6B17" w14:textId="50D668B6" w:rsidR="00C04675" w:rsidRDefault="00C04675" w:rsidP="00C04675">
      <w:pPr>
        <w:spacing w:line="480" w:lineRule="auto"/>
        <w:ind w:firstLine="720"/>
      </w:pPr>
      <w:r>
        <w:t xml:space="preserve">Perhaps the best rebuttal of this theory can be found in the results of public opinion polling done by Jeff </w:t>
      </w:r>
      <w:proofErr w:type="spellStart"/>
      <w:r>
        <w:t>Manza</w:t>
      </w:r>
      <w:proofErr w:type="spellEnd"/>
      <w:r>
        <w:t xml:space="preserve"> and Christopher </w:t>
      </w:r>
      <w:proofErr w:type="spellStart"/>
      <w:r>
        <w:t>Uggen</w:t>
      </w:r>
      <w:proofErr w:type="spellEnd"/>
      <w:r>
        <w:t>. Attempting to get to the heart of this issue, these two researchers analyzed public attitudes regarding felon disenfranchisement and found that sixty percent of Americans support voting rights for those on parole, and sixty-eight percent support the enfranchisement of those on probation.</w:t>
      </w:r>
      <w:r>
        <w:rPr>
          <w:rStyle w:val="FootnoteReference"/>
        </w:rPr>
        <w:footnoteReference w:id="17"/>
      </w:r>
      <w:r>
        <w:t xml:space="preserve"> Because public opinion overwhelmingly supports the enfranchisement of ex-felons, felon disenfranchisement cannot be the result of self-determination, and thus this theory fails to explain the practice. As </w:t>
      </w:r>
      <w:proofErr w:type="spellStart"/>
      <w:r>
        <w:t>Uggen</w:t>
      </w:r>
      <w:proofErr w:type="spellEnd"/>
      <w:r>
        <w:t xml:space="preserve"> explains, if the will of the people was being represented, “[v]</w:t>
      </w:r>
      <w:proofErr w:type="spellStart"/>
      <w:r w:rsidRPr="00C04675">
        <w:t>oting</w:t>
      </w:r>
      <w:proofErr w:type="spellEnd"/>
      <w:r w:rsidRPr="00C04675">
        <w:t xml:space="preserve"> rights would be restored to fully 4 million of the 5.6 million people currently denied voting rights while on probation or after serving time in prison.</w:t>
      </w:r>
      <w:r>
        <w:t>”</w:t>
      </w:r>
      <w:r>
        <w:rPr>
          <w:rStyle w:val="FootnoteReference"/>
        </w:rPr>
        <w:footnoteReference w:id="18"/>
      </w:r>
    </w:p>
    <w:p w14:paraId="6A3504F5" w14:textId="77777777" w:rsidR="000F481C" w:rsidRDefault="0056088F" w:rsidP="000F481C">
      <w:pPr>
        <w:spacing w:line="480" w:lineRule="auto"/>
        <w:ind w:firstLine="720"/>
      </w:pPr>
      <w:r>
        <w:lastRenderedPageBreak/>
        <w:t>While each of the three schools of thought brings a unique perspective to the issue, I propose a</w:t>
      </w:r>
      <w:r w:rsidR="00D120F0">
        <w:t xml:space="preserve"> new </w:t>
      </w:r>
      <w:r>
        <w:t xml:space="preserve">theory regarding the trends in felon disenfranchisement. I </w:t>
      </w:r>
      <w:r w:rsidR="00941A08">
        <w:t xml:space="preserve">argue that </w:t>
      </w:r>
      <w:r>
        <w:t xml:space="preserve">felon disenfranchisement is the direct result of </w:t>
      </w:r>
      <w:r w:rsidR="00061797">
        <w:t>strategic</w:t>
      </w:r>
      <w:r>
        <w:t xml:space="preserve"> voter </w:t>
      </w:r>
      <w:r w:rsidR="002F2773">
        <w:t>manipulation</w:t>
      </w:r>
      <w:r w:rsidR="009110F0">
        <w:t xml:space="preserve">. </w:t>
      </w:r>
      <w:r w:rsidR="0065666D">
        <w:t xml:space="preserve">All of the three theories discussed above </w:t>
      </w:r>
      <w:r w:rsidR="002F62AA">
        <w:t>treat</w:t>
      </w:r>
      <w:r w:rsidR="0065666D">
        <w:t xml:space="preserve"> the </w:t>
      </w:r>
      <w:r w:rsidR="00061797">
        <w:t>practice</w:t>
      </w:r>
      <w:r w:rsidR="0065666D">
        <w:t xml:space="preserve"> </w:t>
      </w:r>
      <w:r w:rsidR="002F62AA">
        <w:t xml:space="preserve">rather </w:t>
      </w:r>
      <w:r w:rsidR="0065666D">
        <w:t>abstract</w:t>
      </w:r>
      <w:r w:rsidR="002F62AA">
        <w:t>ly</w:t>
      </w:r>
      <w:r w:rsidR="0065666D">
        <w:t xml:space="preserve"> </w:t>
      </w:r>
      <w:r w:rsidR="008811C0">
        <w:t>and fail to take into account sociolog</w:t>
      </w:r>
      <w:r w:rsidR="008E0CCF">
        <w:t xml:space="preserve">y and </w:t>
      </w:r>
      <w:r w:rsidR="008811C0">
        <w:t xml:space="preserve">power dynamics in society. </w:t>
      </w:r>
      <w:r w:rsidR="00E85D0F">
        <w:t xml:space="preserve">Particularly in racialized societies, laws can be used to exacerbate </w:t>
      </w:r>
      <w:r w:rsidR="00FF5DF8">
        <w:t xml:space="preserve">racial disparities. </w:t>
      </w:r>
    </w:p>
    <w:p w14:paraId="61B0BBD9" w14:textId="48574B1D" w:rsidR="002C0D4C" w:rsidRPr="002C0D4C" w:rsidRDefault="00B072D6" w:rsidP="001446ED">
      <w:pPr>
        <w:spacing w:line="480" w:lineRule="auto"/>
        <w:ind w:firstLine="720"/>
      </w:pPr>
      <w:r>
        <w:t xml:space="preserve">As it </w:t>
      </w:r>
      <w:r w:rsidR="00FF5DF8">
        <w:t>is implemented c</w:t>
      </w:r>
      <w:r>
        <w:t xml:space="preserve">urrently, felon disenfranchisement is used as a political tool that exploits existing power imbalances to alter voting populations </w:t>
      </w:r>
      <w:r w:rsidR="009110F0">
        <w:t xml:space="preserve">through racial targeting </w:t>
      </w:r>
      <w:r>
        <w:t>to promote partisan outcome</w:t>
      </w:r>
      <w:r w:rsidR="009110F0">
        <w:t>s</w:t>
      </w:r>
      <w:r>
        <w:t>. A party in power</w:t>
      </w:r>
      <w:r w:rsidR="009110F0">
        <w:t xml:space="preserve">, whether a political party or racial group, </w:t>
      </w:r>
      <w:r>
        <w:t xml:space="preserve">uses felon disenfranchisement to hold that power by barring certain individuals from voting, thus creating lower odds of a transition of power. Thus, </w:t>
      </w:r>
      <w:r w:rsidR="009110F0">
        <w:t xml:space="preserve">as I will show later in this </w:t>
      </w:r>
      <w:r w:rsidR="00BC068C">
        <w:t>paper</w:t>
      </w:r>
      <w:r w:rsidR="009110F0">
        <w:t xml:space="preserve">, racial disparities exist between the groups who are barred from voting on </w:t>
      </w:r>
      <w:r>
        <w:t>a state-by-state basis. As a result of the nature of this theory, I am calling it the “</w:t>
      </w:r>
      <w:r w:rsidR="00061797">
        <w:t>maintenance of power</w:t>
      </w:r>
      <w:r>
        <w:t xml:space="preserve">” theory. A closer look at the data that led me to this conclusion will </w:t>
      </w:r>
      <w:r w:rsidR="00ED6D02">
        <w:t>be discussed in the following</w:t>
      </w:r>
      <w:r>
        <w:t xml:space="preserve"> section</w:t>
      </w:r>
      <w:r w:rsidR="00ED6D02">
        <w:t>s</w:t>
      </w:r>
      <w:r>
        <w:t>.</w:t>
      </w:r>
    </w:p>
    <w:p w14:paraId="6D9B2912" w14:textId="0122438C" w:rsidR="00117EEF" w:rsidRDefault="00E30A2F" w:rsidP="00C906E3">
      <w:pPr>
        <w:spacing w:line="480" w:lineRule="auto"/>
        <w:rPr>
          <w:b/>
        </w:rPr>
      </w:pPr>
      <w:r>
        <w:rPr>
          <w:b/>
        </w:rPr>
        <w:t>Findings</w:t>
      </w:r>
    </w:p>
    <w:p w14:paraId="27B30C53" w14:textId="3AE3BA65" w:rsidR="00117EEF" w:rsidRDefault="00117EEF" w:rsidP="00117EEF">
      <w:pPr>
        <w:spacing w:line="480" w:lineRule="auto"/>
      </w:pPr>
      <w:r>
        <w:rPr>
          <w:b/>
        </w:rPr>
        <w:tab/>
      </w:r>
      <w:r>
        <w:t>As previously discussed, felon disenfranchisement policies differ from state to state. Some states, including</w:t>
      </w:r>
      <w:r w:rsidR="00C66DFD">
        <w:t xml:space="preserve"> Florida,</w:t>
      </w:r>
      <w:r>
        <w:t xml:space="preserve"> Iowa, </w:t>
      </w:r>
      <w:r w:rsidR="00C66DFD">
        <w:t xml:space="preserve">and </w:t>
      </w:r>
      <w:r>
        <w:t xml:space="preserve">Kentucky, permanently </w:t>
      </w:r>
      <w:r w:rsidR="00C66DFD">
        <w:t>disenfranchise at least some felons. Others, like Hawaii and Illinois, allow those convicted of felonies to vote upon release. Only two states, Maine and Vermont, allow inmates who are currently incarcerated to vote.</w:t>
      </w:r>
      <w:r w:rsidR="000B00F2">
        <w:t xml:space="preserve"> C</w:t>
      </w:r>
      <w:r w:rsidR="00C66DFD">
        <w:t>omplete chart</w:t>
      </w:r>
      <w:r w:rsidR="000B00F2">
        <w:t>s</w:t>
      </w:r>
      <w:r w:rsidR="00C66DFD">
        <w:t xml:space="preserve"> describing the felon disenfranchisement policies o</w:t>
      </w:r>
      <w:r w:rsidR="00646681">
        <w:t xml:space="preserve">f each state </w:t>
      </w:r>
      <w:r w:rsidR="000B00F2">
        <w:t xml:space="preserve">listed by region </w:t>
      </w:r>
      <w:r w:rsidR="00646681">
        <w:t>can be found in Table 1.</w:t>
      </w:r>
      <w:r w:rsidR="00D971D8">
        <w:t xml:space="preserve"> Region</w:t>
      </w:r>
      <w:r w:rsidR="00256979">
        <w:t>al</w:t>
      </w:r>
      <w:r w:rsidR="00D971D8">
        <w:t xml:space="preserve"> data is in accordance with the official regions observed by the United States Census Bureau</w:t>
      </w:r>
      <w:r w:rsidR="00D359C3">
        <w:t>.</w:t>
      </w:r>
      <w:r w:rsidR="00D971D8">
        <w:rPr>
          <w:rStyle w:val="FootnoteReference"/>
        </w:rPr>
        <w:footnoteReference w:id="19"/>
      </w:r>
    </w:p>
    <w:p w14:paraId="603007DD" w14:textId="1C6E2CC3" w:rsidR="00646681" w:rsidRDefault="00646681" w:rsidP="00646681">
      <w:pPr>
        <w:spacing w:line="480" w:lineRule="auto"/>
        <w:ind w:firstLine="720"/>
      </w:pPr>
      <w:r>
        <w:lastRenderedPageBreak/>
        <w:t>In order to understand the gravity of felon disenfranchisement, it is first important to understand the demographics of felons.</w:t>
      </w:r>
      <w:r w:rsidR="00D20C94">
        <w:t xml:space="preserve"> In a 2017 study about felon disenfranchisement and partisan outcomes, Edward</w:t>
      </w:r>
      <w:r w:rsidR="00826E79" w:rsidRPr="00826E79">
        <w:rPr>
          <w:rFonts w:eastAsia="Times New Roman"/>
        </w:rPr>
        <w:t xml:space="preserve"> </w:t>
      </w:r>
      <w:r w:rsidR="00826E79">
        <w:rPr>
          <w:rFonts w:eastAsia="Times New Roman"/>
        </w:rPr>
        <w:t xml:space="preserve">Burmila found several key patterns </w:t>
      </w:r>
      <w:r w:rsidR="00E641A5">
        <w:rPr>
          <w:rFonts w:eastAsia="Times New Roman"/>
        </w:rPr>
        <w:t xml:space="preserve">on </w:t>
      </w:r>
      <w:r w:rsidR="00826E79">
        <w:rPr>
          <w:rFonts w:eastAsia="Times New Roman"/>
        </w:rPr>
        <w:t xml:space="preserve">voter turnout and felon enfranchisement. </w:t>
      </w:r>
      <w:r w:rsidR="009110F0">
        <w:rPr>
          <w:rFonts w:eastAsia="Times New Roman"/>
        </w:rPr>
        <w:t>Importantly, s</w:t>
      </w:r>
      <w:r w:rsidR="00826E79">
        <w:rPr>
          <w:rFonts w:eastAsia="Times New Roman"/>
        </w:rPr>
        <w:t>outhern states were more likely to disallow felons from participating in government, signifying regional differences in the attitudes state legislatures have toward felons.</w:t>
      </w:r>
      <w:r w:rsidR="009110F0">
        <w:rPr>
          <w:rFonts w:eastAsia="Times New Roman"/>
        </w:rPr>
        <w:t xml:space="preserve"> On the other hand, northern states were less likely to promote strict felon disenfranchisement. This is evident in Table 1.</w:t>
      </w:r>
    </w:p>
    <w:p w14:paraId="0C8B20D7" w14:textId="1BF8C17B" w:rsidR="000B00F2" w:rsidRDefault="000B00F2" w:rsidP="00C47F0E">
      <w:pPr>
        <w:keepNext/>
      </w:pPr>
      <w:r w:rsidRPr="000B00F2">
        <w:rPr>
          <w:noProof/>
        </w:rPr>
        <w:lastRenderedPageBreak/>
        <w:drawing>
          <wp:inline distT="0" distB="0" distL="0" distR="0" wp14:anchorId="343DE65A" wp14:editId="16E756B5">
            <wp:extent cx="5942330" cy="6663193"/>
            <wp:effectExtent l="0" t="0" r="127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1292" cy="6695669"/>
                    </a:xfrm>
                    <a:prstGeom prst="rect">
                      <a:avLst/>
                    </a:prstGeom>
                  </pic:spPr>
                </pic:pic>
              </a:graphicData>
            </a:graphic>
          </wp:inline>
        </w:drawing>
      </w:r>
    </w:p>
    <w:p w14:paraId="6B27E691" w14:textId="0930746A" w:rsidR="00BF5FC4" w:rsidRPr="000B00F2" w:rsidRDefault="000B00F2" w:rsidP="000B00F2">
      <w:pPr>
        <w:pStyle w:val="Caption"/>
        <w:rPr>
          <w:b w:val="0"/>
          <w:color w:val="000000" w:themeColor="text1"/>
        </w:rPr>
      </w:pPr>
      <w:bookmarkStart w:id="1" w:name="_Toc536798350"/>
      <w:r w:rsidRPr="000B00F2">
        <w:rPr>
          <w:color w:val="000000" w:themeColor="text1"/>
        </w:rPr>
        <w:t xml:space="preserve">Table </w:t>
      </w:r>
      <w:r w:rsidRPr="000B00F2">
        <w:rPr>
          <w:color w:val="000000" w:themeColor="text1"/>
        </w:rPr>
        <w:fldChar w:fldCharType="begin"/>
      </w:r>
      <w:r w:rsidRPr="000B00F2">
        <w:rPr>
          <w:color w:val="000000" w:themeColor="text1"/>
        </w:rPr>
        <w:instrText xml:space="preserve"> SEQ Table \* ARABIC </w:instrText>
      </w:r>
      <w:r w:rsidRPr="000B00F2">
        <w:rPr>
          <w:color w:val="000000" w:themeColor="text1"/>
        </w:rPr>
        <w:fldChar w:fldCharType="separate"/>
      </w:r>
      <w:r w:rsidR="002D58F6">
        <w:rPr>
          <w:noProof/>
          <w:color w:val="000000" w:themeColor="text1"/>
        </w:rPr>
        <w:t>1</w:t>
      </w:r>
      <w:r w:rsidRPr="000B00F2">
        <w:rPr>
          <w:color w:val="000000" w:themeColor="text1"/>
        </w:rPr>
        <w:fldChar w:fldCharType="end"/>
      </w:r>
      <w:r w:rsidRPr="000B00F2">
        <w:rPr>
          <w:color w:val="000000" w:themeColor="text1"/>
        </w:rPr>
        <w:t>: Felon Disenfranchisement by Regio</w:t>
      </w:r>
      <w:r w:rsidR="00C47F0E">
        <w:rPr>
          <w:color w:val="000000" w:themeColor="text1"/>
        </w:rPr>
        <w:t>n</w:t>
      </w:r>
      <w:r w:rsidR="00C47F0E">
        <w:rPr>
          <w:rStyle w:val="FootnoteReference"/>
          <w:color w:val="000000" w:themeColor="text1"/>
        </w:rPr>
        <w:footnoteReference w:id="20"/>
      </w:r>
      <w:bookmarkEnd w:id="1"/>
    </w:p>
    <w:p w14:paraId="398C6934" w14:textId="77777777" w:rsidR="00BE79EF" w:rsidRDefault="00BE79EF" w:rsidP="00D853CE">
      <w:pPr>
        <w:spacing w:line="480" w:lineRule="auto"/>
        <w:rPr>
          <w:b/>
        </w:rPr>
      </w:pPr>
    </w:p>
    <w:p w14:paraId="30794B7B" w14:textId="77777777" w:rsidR="00BE79EF" w:rsidRDefault="00BE79EF" w:rsidP="00D853CE">
      <w:pPr>
        <w:spacing w:line="480" w:lineRule="auto"/>
        <w:rPr>
          <w:b/>
        </w:rPr>
      </w:pPr>
    </w:p>
    <w:p w14:paraId="5A31A7B7" w14:textId="5AACC11D" w:rsidR="00D853CE" w:rsidRDefault="00D853CE" w:rsidP="00D853CE">
      <w:pPr>
        <w:spacing w:line="480" w:lineRule="auto"/>
      </w:pPr>
      <w:r>
        <w:rPr>
          <w:b/>
        </w:rPr>
        <w:lastRenderedPageBreak/>
        <w:t>Maintenance of Power through Mass Incarceration</w:t>
      </w:r>
      <w:r>
        <w:t xml:space="preserve"> </w:t>
      </w:r>
    </w:p>
    <w:p w14:paraId="3DFBFC2F" w14:textId="5C93313C" w:rsidR="00D853CE" w:rsidRDefault="00D853CE" w:rsidP="00D853CE">
      <w:pPr>
        <w:spacing w:line="480" w:lineRule="auto"/>
        <w:ind w:firstLine="720"/>
      </w:pPr>
      <w:r>
        <w:t xml:space="preserve">Perhaps the most obvious evidence </w:t>
      </w:r>
      <w:r w:rsidR="008966B3">
        <w:t xml:space="preserve">for </w:t>
      </w:r>
      <w:r>
        <w:t xml:space="preserve">the maintenance of power theory can be found in the incarceration rates of Americans broken up by race. As I previously stated, felon disenfranchisement is a tool of white supremacy that attempts to maintain white power through strategically stripping the right to vote from black communities. In order to establish this connection, I will first address the strategic nature of mass incarceration. If the maintenance of power theory is true, one would expect black Americans to be incarcerated at higher rates than white Americans, because if white and black Americans are incarcerated at the same rate, </w:t>
      </w:r>
      <w:r w:rsidR="00D63D7A">
        <w:t xml:space="preserve">this would not </w:t>
      </w:r>
      <w:r w:rsidR="00B839BD">
        <w:t>necessarily bolster</w:t>
      </w:r>
      <w:r w:rsidR="00221B02">
        <w:t xml:space="preserve"> the </w:t>
      </w:r>
      <w:r>
        <w:t xml:space="preserve">power </w:t>
      </w:r>
      <w:r w:rsidR="00221B02">
        <w:t xml:space="preserve">of one racial group over another. </w:t>
      </w:r>
    </w:p>
    <w:p w14:paraId="070675B6" w14:textId="77777777" w:rsidR="00D853CE" w:rsidRDefault="00D853CE" w:rsidP="00D853CE">
      <w:pPr>
        <w:spacing w:line="480" w:lineRule="auto"/>
        <w:ind w:firstLine="720"/>
      </w:pPr>
      <w:r>
        <w:t>As is commonly accepted, policing tends to adversely affect communities of color, particularly African American and Hispanic Americans. This creates a problematic situation of systematic racism that prevents minority populations from effecting policy changes at any level. In her research regarding this issue, Lauren Powell contends that felon disenfranchisement laws are not designed with racial bias in mind, but rather implicit racial bias is an effect of felons remaining barred from voting.</w:t>
      </w:r>
      <w:r>
        <w:rPr>
          <w:rStyle w:val="FootnoteReference"/>
        </w:rPr>
        <w:footnoteReference w:id="21"/>
      </w:r>
      <w:r>
        <w:t xml:space="preserve"> Powell asserts, however, that the key to overturning felon disenfranchisement on a national scale is to prove the link between racial discrimination and mass incarceration. </w:t>
      </w:r>
    </w:p>
    <w:p w14:paraId="1DDE8A68" w14:textId="66219B90" w:rsidR="00D853CE" w:rsidRDefault="00D853CE" w:rsidP="00D853CE">
      <w:pPr>
        <w:spacing w:line="480" w:lineRule="auto"/>
      </w:pPr>
      <w:r>
        <w:tab/>
        <w:t xml:space="preserve">As I stated previously, my theory is that felon disenfranchisement upholds the interests of the group in power through strategic voter suppression. I propose this theory for two reasons. First, the states that have strict felon disenfranchisement laws (the “permanent disenfranchisement” category) have the largest disparity between incarceration rates for black </w:t>
      </w:r>
      <w:r>
        <w:lastRenderedPageBreak/>
        <w:t>Americans and white Americans. Second, the states that have liberal felon disenfranchisement laws (the states where inmates currently in the penal system can vote) tend to have lower</w:t>
      </w:r>
      <w:r w:rsidR="006663F0">
        <w:t xml:space="preserve"> racial disparities in the incarceration rates for white and black Americans.</w:t>
      </w:r>
    </w:p>
    <w:p w14:paraId="7D706F99" w14:textId="77777777" w:rsidR="00D853CE" w:rsidRDefault="00D853CE" w:rsidP="00D853CE">
      <w:pPr>
        <w:spacing w:line="480" w:lineRule="auto"/>
      </w:pPr>
      <w:r>
        <w:tab/>
        <w:t>An important assumption fueling the maintenance of power theory is the idea that the average voter will vote for politicians who are similar to him or her. With regards to party preference, this is a reasonable assumption to make. However, the issue of whether voters will select candidates who are the same race as him or her is hotly debated. Many scholars are sharply divided on the issue, but I take the stance that white voters tend to vote for white candidates, while black voters tend to vote for black candidates.</w:t>
      </w:r>
    </w:p>
    <w:p w14:paraId="1E7A7B5B" w14:textId="30B11E0B" w:rsidR="00D853CE" w:rsidRDefault="00D853CE" w:rsidP="00D853CE">
      <w:pPr>
        <w:spacing w:line="480" w:lineRule="auto"/>
      </w:pPr>
      <w:r>
        <w:tab/>
        <w:t xml:space="preserve">I reach this conclusion on the basis of several researchers in the wake of the election of Barack Obama in 2008. According to one researcher, Josh </w:t>
      </w:r>
      <w:proofErr w:type="spellStart"/>
      <w:r>
        <w:t>Pasek</w:t>
      </w:r>
      <w:proofErr w:type="spellEnd"/>
      <w:r>
        <w:t xml:space="preserve">, </w:t>
      </w:r>
      <w:r w:rsidRPr="00FC58AF">
        <w:t xml:space="preserve">racism </w:t>
      </w:r>
      <w:r>
        <w:t xml:space="preserve">cost </w:t>
      </w:r>
      <w:r w:rsidRPr="00FC58AF">
        <w:t xml:space="preserve">Obama </w:t>
      </w:r>
      <w:r>
        <w:t>5.2 percentage points in aggregate among white voters.</w:t>
      </w:r>
      <w:r>
        <w:rPr>
          <w:rStyle w:val="FootnoteReference"/>
        </w:rPr>
        <w:footnoteReference w:id="22"/>
      </w:r>
      <w:r>
        <w:t xml:space="preserve"> Race’s salience among white voters implies a somewhat conscious desire to maintain white supremacy, which would then explain felon disenfranchisement.</w:t>
      </w:r>
      <w:r w:rsidR="006663F0">
        <w:t xml:space="preserve"> </w:t>
      </w:r>
      <w:r>
        <w:t>By analyzing the popularly searched google terms in the time period before and after Barack Obama was elected, Stephens-Davidowitz</w:t>
      </w:r>
      <w:r w:rsidR="00C15DE6">
        <w:t xml:space="preserve"> (2012)</w:t>
      </w:r>
      <w:r>
        <w:t xml:space="preserve"> was able to more accurately determine racial bias’s role in the election absent social desirability bias, which would skew results as respondents give answers that would be more socially-acceptable. Alarmingly, Stevens-Davidowitz found that </w:t>
      </w:r>
      <w:r w:rsidRPr="00D519E5">
        <w:t xml:space="preserve">6.7% to 10.7% of white </w:t>
      </w:r>
      <w:r>
        <w:t>people in the same party as Barack Obama</w:t>
      </w:r>
      <w:r w:rsidRPr="00D519E5">
        <w:t xml:space="preserve"> refrained from supporting </w:t>
      </w:r>
      <w:r>
        <w:t>him in the election</w:t>
      </w:r>
      <w:r w:rsidRPr="00D519E5">
        <w:t xml:space="preserve"> because of his race</w:t>
      </w:r>
      <w:r>
        <w:t>.</w:t>
      </w:r>
      <w:r>
        <w:rPr>
          <w:rStyle w:val="FootnoteReference"/>
        </w:rPr>
        <w:footnoteReference w:id="23"/>
      </w:r>
      <w:r>
        <w:t xml:space="preserve"> This again implies that race is very salient among white voters.</w:t>
      </w:r>
    </w:p>
    <w:p w14:paraId="5BDB0FA6" w14:textId="406A0AAB" w:rsidR="00D853CE" w:rsidRDefault="00D853CE" w:rsidP="00D853CE">
      <w:pPr>
        <w:spacing w:line="480" w:lineRule="auto"/>
        <w:ind w:firstLine="720"/>
      </w:pPr>
      <w:r>
        <w:lastRenderedPageBreak/>
        <w:t xml:space="preserve">Figures 2, 4, 5, 7, and 9 show the disparities in the incarceration rates per 100,000 people of white and black Americans in each state, sorted by the severity of its felon disenfranchisement policies. As expected, each state has a significantly higher incarceration rate for black Americans than for white Americans. The incarceration rates in these states is especially problematic when one remembers that these rates directly translate into disenfranchised populations. With such a large disparity between the incarceration rates, it would be expected that felon disenfranchisement affects black communities at a higher rate than white communities. Of these states, Kentucky has the highest incarceration rate, which explains the reason why Kentucky has the highest black incarceration rate in the nation, seen </w:t>
      </w:r>
      <w:r w:rsidRPr="00D853CE">
        <w:t>later in Figure 13.</w:t>
      </w:r>
      <w:r>
        <w:t xml:space="preserve"> </w:t>
      </w:r>
    </w:p>
    <w:p w14:paraId="7DF438FB" w14:textId="77777777" w:rsidR="00D853CE" w:rsidRDefault="00D853CE" w:rsidP="00D853CE">
      <w:pPr>
        <w:spacing w:line="480" w:lineRule="auto"/>
        <w:ind w:firstLine="720"/>
      </w:pPr>
      <w:r>
        <w:t xml:space="preserve">Figure 1 shows the race breakdown of inmates living in states with permanent disenfranchisement policies. If states wrote felon disenfranchisement laws with explicit racial bias regarding partisan outcomes in mind, one would expect each of these states to have a higher number of black inmates than white inmates. This is certainly the case for Florida, Alabama, Delaware, Mississippi, and Tennessee. </w:t>
      </w:r>
    </w:p>
    <w:p w14:paraId="1D3AE1AF" w14:textId="77777777" w:rsidR="00D853CE" w:rsidRDefault="00D853CE" w:rsidP="00D853CE">
      <w:pPr>
        <w:spacing w:line="480" w:lineRule="auto"/>
      </w:pPr>
    </w:p>
    <w:p w14:paraId="0E6A7558" w14:textId="77777777" w:rsidR="002D58F6" w:rsidRDefault="002D58F6" w:rsidP="002D58F6">
      <w:pPr>
        <w:keepNext/>
      </w:pPr>
      <w:r>
        <w:rPr>
          <w:noProof/>
        </w:rPr>
        <w:lastRenderedPageBreak/>
        <w:drawing>
          <wp:inline distT="0" distB="0" distL="0" distR="0" wp14:anchorId="03DA4FBC" wp14:editId="5C463924">
            <wp:extent cx="5948045" cy="34428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3078" cy="3463147"/>
                    </a:xfrm>
                    <a:prstGeom prst="rect">
                      <a:avLst/>
                    </a:prstGeom>
                  </pic:spPr>
                </pic:pic>
              </a:graphicData>
            </a:graphic>
          </wp:inline>
        </w:drawing>
      </w:r>
    </w:p>
    <w:p w14:paraId="2524753B" w14:textId="043F4B17" w:rsidR="002D58F6" w:rsidRPr="002D58F6" w:rsidRDefault="002D58F6" w:rsidP="002D58F6">
      <w:pPr>
        <w:pStyle w:val="Caption"/>
        <w:rPr>
          <w:color w:val="000000" w:themeColor="text1"/>
        </w:rPr>
      </w:pPr>
      <w:r w:rsidRPr="002D58F6">
        <w:rPr>
          <w:color w:val="000000" w:themeColor="text1"/>
        </w:rPr>
        <w:t xml:space="preserve">Figure </w:t>
      </w:r>
      <w:r w:rsidRPr="002D58F6">
        <w:rPr>
          <w:color w:val="000000" w:themeColor="text1"/>
        </w:rPr>
        <w:fldChar w:fldCharType="begin"/>
      </w:r>
      <w:r w:rsidRPr="002D58F6">
        <w:rPr>
          <w:color w:val="000000" w:themeColor="text1"/>
        </w:rPr>
        <w:instrText xml:space="preserve"> SEQ Figure \* ARABIC </w:instrText>
      </w:r>
      <w:r w:rsidRPr="002D58F6">
        <w:rPr>
          <w:color w:val="000000" w:themeColor="text1"/>
        </w:rPr>
        <w:fldChar w:fldCharType="separate"/>
      </w:r>
      <w:r>
        <w:rPr>
          <w:noProof/>
          <w:color w:val="000000" w:themeColor="text1"/>
        </w:rPr>
        <w:t>1</w:t>
      </w:r>
      <w:r w:rsidRPr="002D58F6">
        <w:rPr>
          <w:color w:val="000000" w:themeColor="text1"/>
        </w:rPr>
        <w:fldChar w:fldCharType="end"/>
      </w:r>
      <w:r w:rsidRPr="002D58F6">
        <w:rPr>
          <w:color w:val="000000" w:themeColor="text1"/>
        </w:rPr>
        <w:t>: Number of Prisoners in States that Permanently Disenfranchise Felons</w:t>
      </w:r>
      <w:r>
        <w:rPr>
          <w:rStyle w:val="FootnoteReference"/>
          <w:color w:val="000000" w:themeColor="text1"/>
        </w:rPr>
        <w:footnoteReference w:id="24"/>
      </w:r>
    </w:p>
    <w:p w14:paraId="793BF95A" w14:textId="77777777" w:rsidR="00D853CE" w:rsidRDefault="00D853CE" w:rsidP="00D853CE">
      <w:pPr>
        <w:spacing w:line="480" w:lineRule="auto"/>
        <w:ind w:firstLine="720"/>
      </w:pPr>
      <w:r>
        <w:t>Interestingly, however, Nevada, Kentucky, Iowa, and Arizona each have more white prisoners than black prisoners. What, then, can explain why these states choose to permanently disenfranchise voters, if more white people are disenfranchised than black people?  I propose that this is due to low black populations in these states. According to census data from the year 2000, each of these states’ black population comprises less than eight percent of the total state population</w:t>
      </w:r>
      <w:r>
        <w:t>.</w:t>
      </w:r>
      <w:r>
        <w:rPr>
          <w:rStyle w:val="FootnoteReference"/>
        </w:rPr>
        <w:footnoteReference w:id="25"/>
      </w:r>
    </w:p>
    <w:p w14:paraId="0CD9F739" w14:textId="77777777" w:rsidR="00D853CE" w:rsidRDefault="00D853CE" w:rsidP="00D853CE">
      <w:pPr>
        <w:spacing w:line="480" w:lineRule="auto"/>
        <w:ind w:firstLine="720"/>
      </w:pPr>
      <w:r w:rsidRPr="002B5966">
        <w:t xml:space="preserve">Importantly, according to the Prison Policy Initiative, each of the states that has a higher number of white prisoners than black prisoners has a much higher incarceration rate for black Americans than white Americans. </w:t>
      </w:r>
      <w:r>
        <w:t xml:space="preserve">Figure 2 shows the disparities in the incarceration rates of white and black Americans per 100,000 people in each state within the permanent </w:t>
      </w:r>
      <w:r>
        <w:lastRenderedPageBreak/>
        <w:t xml:space="preserve">disenfranchisement category. </w:t>
      </w:r>
      <w:r w:rsidRPr="002B5966">
        <w:t>Kentucky is ranked</w:t>
      </w:r>
      <w:r>
        <w:t xml:space="preserve"> highest among the permanent felon disenfranchisement states in terms of black incarceration rates. Second is Iowa, followed by Arizona. Nevada places fifth. While these states may have lower black prison populations total, their incarceration rates affect black communities at a much higher rate, making these states among the most likely to disenfranchise their black populations. </w:t>
      </w:r>
    </w:p>
    <w:p w14:paraId="20EDED32" w14:textId="77777777" w:rsidR="00D853CE" w:rsidRDefault="00D853CE" w:rsidP="00D853CE">
      <w:pPr>
        <w:keepNext/>
      </w:pPr>
      <w:r>
        <w:rPr>
          <w:noProof/>
        </w:rPr>
        <w:drawing>
          <wp:inline distT="0" distB="0" distL="0" distR="0" wp14:anchorId="0A523FF6" wp14:editId="106C836E">
            <wp:extent cx="5943600" cy="39954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995420"/>
                    </a:xfrm>
                    <a:prstGeom prst="rect">
                      <a:avLst/>
                    </a:prstGeom>
                  </pic:spPr>
                </pic:pic>
              </a:graphicData>
            </a:graphic>
          </wp:inline>
        </w:drawing>
      </w:r>
    </w:p>
    <w:p w14:paraId="62B16670" w14:textId="3A5767ED" w:rsidR="00D853CE" w:rsidRDefault="00D853CE" w:rsidP="00D853CE">
      <w:pPr>
        <w:pStyle w:val="Caption"/>
        <w:rPr>
          <w:color w:val="000000" w:themeColor="text1"/>
        </w:rPr>
      </w:pPr>
      <w:r w:rsidRPr="00B238CD">
        <w:rPr>
          <w:color w:val="000000" w:themeColor="text1"/>
        </w:rPr>
        <w:t xml:space="preserve">Figure </w:t>
      </w:r>
      <w:r w:rsidRPr="00B238CD">
        <w:rPr>
          <w:color w:val="000000" w:themeColor="text1"/>
        </w:rPr>
        <w:fldChar w:fldCharType="begin"/>
      </w:r>
      <w:r w:rsidRPr="00B238CD">
        <w:rPr>
          <w:color w:val="000000" w:themeColor="text1"/>
        </w:rPr>
        <w:instrText xml:space="preserve"> SEQ Figure \* ARABIC </w:instrText>
      </w:r>
      <w:r w:rsidRPr="00B238CD">
        <w:rPr>
          <w:color w:val="000000" w:themeColor="text1"/>
        </w:rPr>
        <w:fldChar w:fldCharType="separate"/>
      </w:r>
      <w:r w:rsidR="002D58F6">
        <w:rPr>
          <w:noProof/>
          <w:color w:val="000000" w:themeColor="text1"/>
        </w:rPr>
        <w:t>2</w:t>
      </w:r>
      <w:r w:rsidRPr="00B238CD">
        <w:rPr>
          <w:color w:val="000000" w:themeColor="text1"/>
        </w:rPr>
        <w:fldChar w:fldCharType="end"/>
      </w:r>
      <w:r w:rsidRPr="00B238CD">
        <w:rPr>
          <w:color w:val="000000" w:themeColor="text1"/>
        </w:rPr>
        <w:t>: Incarceration Rates per 100,000 People in Permanent Disenfranchisement States</w:t>
      </w:r>
      <w:r>
        <w:rPr>
          <w:rStyle w:val="FootnoteReference"/>
          <w:color w:val="000000" w:themeColor="text1"/>
        </w:rPr>
        <w:footnoteReference w:id="26"/>
      </w:r>
    </w:p>
    <w:p w14:paraId="4AB3B745" w14:textId="77777777" w:rsidR="00D853CE" w:rsidRDefault="00D853CE" w:rsidP="00D853CE">
      <w:pPr>
        <w:spacing w:line="480" w:lineRule="auto"/>
      </w:pPr>
      <w:r>
        <w:tab/>
        <w:t xml:space="preserve">This pattern continues in the states that allow felons to vote upon discharge from probation. As seen in Figure 3, all of the states except for Arkansas, Georgia, New Jersey, North Carolina, South Carolina, Texas, and Virginia have higher numbers of white inmates than black inmates. </w:t>
      </w:r>
    </w:p>
    <w:p w14:paraId="7002C9F3" w14:textId="77777777" w:rsidR="002D58F6" w:rsidRDefault="002D58F6" w:rsidP="002D58F6">
      <w:pPr>
        <w:keepNext/>
      </w:pPr>
      <w:r>
        <w:rPr>
          <w:noProof/>
        </w:rPr>
        <w:lastRenderedPageBreak/>
        <w:drawing>
          <wp:inline distT="0" distB="0" distL="0" distR="0" wp14:anchorId="7128F1B6" wp14:editId="2AA45474">
            <wp:extent cx="5947410" cy="32402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68330" cy="3251614"/>
                    </a:xfrm>
                    <a:prstGeom prst="rect">
                      <a:avLst/>
                    </a:prstGeom>
                  </pic:spPr>
                </pic:pic>
              </a:graphicData>
            </a:graphic>
          </wp:inline>
        </w:drawing>
      </w:r>
    </w:p>
    <w:p w14:paraId="360A6FC8" w14:textId="5332B544" w:rsidR="002D58F6" w:rsidRPr="002D58F6" w:rsidRDefault="002D58F6" w:rsidP="002D58F6">
      <w:pPr>
        <w:pStyle w:val="Caption"/>
        <w:rPr>
          <w:color w:val="000000" w:themeColor="text1"/>
        </w:rPr>
      </w:pPr>
      <w:r w:rsidRPr="002D58F6">
        <w:rPr>
          <w:color w:val="000000" w:themeColor="text1"/>
        </w:rPr>
        <w:t xml:space="preserve">Figure </w:t>
      </w:r>
      <w:r w:rsidRPr="002D58F6">
        <w:rPr>
          <w:color w:val="000000" w:themeColor="text1"/>
        </w:rPr>
        <w:fldChar w:fldCharType="begin"/>
      </w:r>
      <w:r w:rsidRPr="002D58F6">
        <w:rPr>
          <w:color w:val="000000" w:themeColor="text1"/>
        </w:rPr>
        <w:instrText xml:space="preserve"> SEQ Figure \* ARABIC </w:instrText>
      </w:r>
      <w:r w:rsidRPr="002D58F6">
        <w:rPr>
          <w:color w:val="000000" w:themeColor="text1"/>
        </w:rPr>
        <w:fldChar w:fldCharType="separate"/>
      </w:r>
      <w:r>
        <w:rPr>
          <w:noProof/>
          <w:color w:val="000000" w:themeColor="text1"/>
        </w:rPr>
        <w:t>3</w:t>
      </w:r>
      <w:r w:rsidRPr="002D58F6">
        <w:rPr>
          <w:color w:val="000000" w:themeColor="text1"/>
        </w:rPr>
        <w:fldChar w:fldCharType="end"/>
      </w:r>
      <w:r w:rsidRPr="002D58F6">
        <w:rPr>
          <w:color w:val="000000" w:themeColor="text1"/>
        </w:rPr>
        <w:t>: Number of Prisoners in States that Grant Voting Rights Upon Discharge from Probation</w:t>
      </w:r>
      <w:r w:rsidRPr="00D90D96">
        <w:rPr>
          <w:rStyle w:val="FootnoteReference"/>
          <w:color w:val="000000" w:themeColor="text1"/>
        </w:rPr>
        <w:footnoteReference w:id="27"/>
      </w:r>
    </w:p>
    <w:p w14:paraId="29B25890" w14:textId="216B0D43" w:rsidR="00D853CE" w:rsidRDefault="00D853CE" w:rsidP="00D853CE">
      <w:pPr>
        <w:spacing w:line="480" w:lineRule="auto"/>
        <w:ind w:firstLine="720"/>
      </w:pPr>
      <w:r>
        <w:t>However, as seen in Figure 4, the states that have more white inmates than black inmates have consistently higher incarceration rates for black Americans. This suggests that the felon disenfranchisement policies would impact the black electorate much more than the white electorate. Thus, with a greater portion of black Americans in these areas incarcerate</w:t>
      </w:r>
      <w:r w:rsidR="00047C49">
        <w:t>d</w:t>
      </w:r>
      <w:r>
        <w:t xml:space="preserve"> and thus unable to vote, white leaders are </w:t>
      </w:r>
      <w:r w:rsidR="00FD2BFC">
        <w:t>more likely</w:t>
      </w:r>
      <w:r>
        <w:t xml:space="preserve"> to maintain their positions, in accordance with the maintenance of power theory.</w:t>
      </w:r>
    </w:p>
    <w:p w14:paraId="39FC54FE" w14:textId="77777777" w:rsidR="00D853CE" w:rsidRPr="0000546E" w:rsidRDefault="00D853CE" w:rsidP="00D853CE"/>
    <w:p w14:paraId="20557575" w14:textId="77777777" w:rsidR="00D853CE" w:rsidRDefault="00D853CE" w:rsidP="00D853CE">
      <w:pPr>
        <w:keepNext/>
      </w:pPr>
      <w:r>
        <w:rPr>
          <w:noProof/>
        </w:rPr>
        <w:lastRenderedPageBreak/>
        <w:drawing>
          <wp:inline distT="0" distB="0" distL="0" distR="0" wp14:anchorId="2BD568FF" wp14:editId="3529C6CB">
            <wp:extent cx="5943600" cy="41585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158532"/>
                    </a:xfrm>
                    <a:prstGeom prst="rect">
                      <a:avLst/>
                    </a:prstGeom>
                  </pic:spPr>
                </pic:pic>
              </a:graphicData>
            </a:graphic>
          </wp:inline>
        </w:drawing>
      </w:r>
    </w:p>
    <w:p w14:paraId="0987D389" w14:textId="6CAFF42B" w:rsidR="00D853CE" w:rsidRPr="00796145" w:rsidRDefault="00D853CE" w:rsidP="00D853CE">
      <w:pPr>
        <w:pStyle w:val="Caption"/>
        <w:rPr>
          <w:color w:val="000000" w:themeColor="text1"/>
        </w:rPr>
      </w:pPr>
      <w:r w:rsidRPr="00796145">
        <w:rPr>
          <w:color w:val="000000" w:themeColor="text1"/>
        </w:rPr>
        <w:t xml:space="preserve">Figure </w:t>
      </w:r>
      <w:r w:rsidRPr="00796145">
        <w:rPr>
          <w:color w:val="000000" w:themeColor="text1"/>
        </w:rPr>
        <w:fldChar w:fldCharType="begin"/>
      </w:r>
      <w:r w:rsidRPr="00796145">
        <w:rPr>
          <w:color w:val="000000" w:themeColor="text1"/>
        </w:rPr>
        <w:instrText xml:space="preserve"> SEQ Figure \* ARABIC </w:instrText>
      </w:r>
      <w:r w:rsidRPr="00796145">
        <w:rPr>
          <w:color w:val="000000" w:themeColor="text1"/>
        </w:rPr>
        <w:fldChar w:fldCharType="separate"/>
      </w:r>
      <w:r w:rsidR="002D58F6">
        <w:rPr>
          <w:noProof/>
          <w:color w:val="000000" w:themeColor="text1"/>
        </w:rPr>
        <w:t>4</w:t>
      </w:r>
      <w:r w:rsidRPr="00796145">
        <w:rPr>
          <w:color w:val="000000" w:themeColor="text1"/>
        </w:rPr>
        <w:fldChar w:fldCharType="end"/>
      </w:r>
      <w:r w:rsidRPr="00796145">
        <w:rPr>
          <w:color w:val="000000" w:themeColor="text1"/>
        </w:rPr>
        <w:t>: Incarceration Rates per 100,000 People in Discharge from Probation States</w:t>
      </w:r>
      <w:r w:rsidRPr="00796145">
        <w:rPr>
          <w:rStyle w:val="FootnoteReference"/>
          <w:color w:val="000000" w:themeColor="text1"/>
        </w:rPr>
        <w:footnoteReference w:id="28"/>
      </w:r>
    </w:p>
    <w:p w14:paraId="3ACAF3EE" w14:textId="77777777" w:rsidR="00D853CE" w:rsidRDefault="00D853CE" w:rsidP="00D853CE">
      <w:pPr>
        <w:spacing w:line="480" w:lineRule="auto"/>
        <w:ind w:firstLine="720"/>
      </w:pPr>
      <w:r>
        <w:t xml:space="preserve">Figure 5 shows the incarceration rates per 100,000 people broken up by race for people living in states that allow felons to vote upon completion of parole. These rates continue to show clear disparities in the proportion of black Americans incarcerated as opposed to their white counterparts. However, in this category, the numbers of prisoners are much closer for each race. </w:t>
      </w:r>
    </w:p>
    <w:p w14:paraId="16FCBE0A" w14:textId="77777777" w:rsidR="00D853CE" w:rsidRDefault="00D853CE" w:rsidP="00D853CE">
      <w:pPr>
        <w:keepNext/>
      </w:pPr>
      <w:r>
        <w:rPr>
          <w:noProof/>
        </w:rPr>
        <w:lastRenderedPageBreak/>
        <w:drawing>
          <wp:inline distT="0" distB="0" distL="0" distR="0" wp14:anchorId="1EBC3084" wp14:editId="349DF878">
            <wp:extent cx="5943600" cy="29298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929890"/>
                    </a:xfrm>
                    <a:prstGeom prst="rect">
                      <a:avLst/>
                    </a:prstGeom>
                  </pic:spPr>
                </pic:pic>
              </a:graphicData>
            </a:graphic>
          </wp:inline>
        </w:drawing>
      </w:r>
    </w:p>
    <w:p w14:paraId="79135188" w14:textId="52DF6C3C" w:rsidR="00D853CE" w:rsidRDefault="00D853CE" w:rsidP="00D853CE">
      <w:pPr>
        <w:pStyle w:val="Caption"/>
        <w:rPr>
          <w:color w:val="000000" w:themeColor="text1"/>
        </w:rPr>
      </w:pPr>
      <w:r w:rsidRPr="002C0D4C">
        <w:rPr>
          <w:color w:val="000000" w:themeColor="text1"/>
        </w:rPr>
        <w:t xml:space="preserve">Figure </w:t>
      </w:r>
      <w:r w:rsidRPr="002C0D4C">
        <w:rPr>
          <w:color w:val="000000" w:themeColor="text1"/>
        </w:rPr>
        <w:fldChar w:fldCharType="begin"/>
      </w:r>
      <w:r w:rsidRPr="002C0D4C">
        <w:rPr>
          <w:color w:val="000000" w:themeColor="text1"/>
        </w:rPr>
        <w:instrText xml:space="preserve"> SEQ Figure \* ARABIC </w:instrText>
      </w:r>
      <w:r w:rsidRPr="002C0D4C">
        <w:rPr>
          <w:color w:val="000000" w:themeColor="text1"/>
        </w:rPr>
        <w:fldChar w:fldCharType="separate"/>
      </w:r>
      <w:r w:rsidR="002D58F6">
        <w:rPr>
          <w:noProof/>
          <w:color w:val="000000" w:themeColor="text1"/>
        </w:rPr>
        <w:t>5</w:t>
      </w:r>
      <w:r w:rsidRPr="002C0D4C">
        <w:rPr>
          <w:color w:val="000000" w:themeColor="text1"/>
        </w:rPr>
        <w:fldChar w:fldCharType="end"/>
      </w:r>
      <w:r w:rsidRPr="002C0D4C">
        <w:rPr>
          <w:color w:val="000000" w:themeColor="text1"/>
        </w:rPr>
        <w:t>: Incarceration Rates per 100,000 People in Completion of Parole States</w:t>
      </w:r>
      <w:r>
        <w:rPr>
          <w:rStyle w:val="FootnoteReference"/>
          <w:color w:val="000000" w:themeColor="text1"/>
        </w:rPr>
        <w:footnoteReference w:id="29"/>
      </w:r>
    </w:p>
    <w:p w14:paraId="752BCEAE" w14:textId="6450548E" w:rsidR="00D853CE" w:rsidRPr="0000546E" w:rsidRDefault="00D853CE" w:rsidP="00D853CE">
      <w:pPr>
        <w:spacing w:line="480" w:lineRule="auto"/>
        <w:ind w:firstLine="720"/>
      </w:pPr>
      <w:r>
        <w:t>This is consistent with the maintenance of power theory because having less strict felon disenfranchisement policies in these states benefits white Americans. In addition, having higher incarceration rates for black Americans in these states, as seen in Figure 6, shows a clear continuation of the issue each of the other categories perpetuate: felon disenfranchisement disproportionately affects black Americans.</w:t>
      </w:r>
    </w:p>
    <w:p w14:paraId="4EBC0782" w14:textId="77777777" w:rsidR="002D58F6" w:rsidRDefault="002D58F6" w:rsidP="002D58F6">
      <w:pPr>
        <w:keepNext/>
      </w:pPr>
      <w:r>
        <w:rPr>
          <w:noProof/>
        </w:rPr>
        <w:lastRenderedPageBreak/>
        <w:drawing>
          <wp:inline distT="0" distB="0" distL="0" distR="0" wp14:anchorId="0190F41B" wp14:editId="48E1BDD5">
            <wp:extent cx="5940553" cy="3244132"/>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8749" cy="3254069"/>
                    </a:xfrm>
                    <a:prstGeom prst="rect">
                      <a:avLst/>
                    </a:prstGeom>
                  </pic:spPr>
                </pic:pic>
              </a:graphicData>
            </a:graphic>
          </wp:inline>
        </w:drawing>
      </w:r>
    </w:p>
    <w:p w14:paraId="2CA4E837" w14:textId="3F433C41" w:rsidR="00D853CE" w:rsidRPr="002D58F6" w:rsidRDefault="002D58F6" w:rsidP="002D58F6">
      <w:pPr>
        <w:pStyle w:val="Caption"/>
        <w:rPr>
          <w:color w:val="000000" w:themeColor="text1"/>
        </w:rPr>
      </w:pPr>
      <w:r w:rsidRPr="002D58F6">
        <w:rPr>
          <w:color w:val="000000" w:themeColor="text1"/>
        </w:rPr>
        <w:t xml:space="preserve">Figure </w:t>
      </w:r>
      <w:r w:rsidRPr="002D58F6">
        <w:rPr>
          <w:color w:val="000000" w:themeColor="text1"/>
        </w:rPr>
        <w:fldChar w:fldCharType="begin"/>
      </w:r>
      <w:r w:rsidRPr="002D58F6">
        <w:rPr>
          <w:color w:val="000000" w:themeColor="text1"/>
        </w:rPr>
        <w:instrText xml:space="preserve"> SEQ Figure \* ARABIC </w:instrText>
      </w:r>
      <w:r w:rsidRPr="002D58F6">
        <w:rPr>
          <w:color w:val="000000" w:themeColor="text1"/>
        </w:rPr>
        <w:fldChar w:fldCharType="separate"/>
      </w:r>
      <w:r>
        <w:rPr>
          <w:noProof/>
          <w:color w:val="000000" w:themeColor="text1"/>
        </w:rPr>
        <w:t>6</w:t>
      </w:r>
      <w:r w:rsidRPr="002D58F6">
        <w:rPr>
          <w:color w:val="000000" w:themeColor="text1"/>
        </w:rPr>
        <w:fldChar w:fldCharType="end"/>
      </w:r>
      <w:r w:rsidRPr="002D58F6">
        <w:rPr>
          <w:color w:val="000000" w:themeColor="text1"/>
        </w:rPr>
        <w:t>: Number of Prisoners in States that Grant Voting Rights Upon Completion of Parole</w:t>
      </w:r>
      <w:r w:rsidRPr="002D58F6">
        <w:rPr>
          <w:rStyle w:val="FootnoteReference"/>
          <w:color w:val="000000" w:themeColor="text1"/>
        </w:rPr>
        <w:footnoteReference w:id="30"/>
      </w:r>
    </w:p>
    <w:p w14:paraId="775554B8" w14:textId="77777777" w:rsidR="00D853CE" w:rsidRPr="00D3106A" w:rsidRDefault="00D853CE" w:rsidP="00D853CE">
      <w:pPr>
        <w:spacing w:line="480" w:lineRule="auto"/>
        <w:ind w:firstLine="720"/>
      </w:pPr>
      <w:r>
        <w:t xml:space="preserve">Figure 7 shows the incarceration rates per 100,000 people broken up by race in states that allow felons to vote upon release from prison. As is the case in the previous categories, each of these states has a higher incarceration rate for black Americans than white Americans. </w:t>
      </w:r>
    </w:p>
    <w:p w14:paraId="1FA00152" w14:textId="77777777" w:rsidR="00D853CE" w:rsidRDefault="00D853CE" w:rsidP="00D853CE">
      <w:pPr>
        <w:keepNext/>
      </w:pPr>
      <w:r>
        <w:rPr>
          <w:noProof/>
        </w:rPr>
        <w:lastRenderedPageBreak/>
        <w:drawing>
          <wp:inline distT="0" distB="0" distL="0" distR="0" wp14:anchorId="2EB94808" wp14:editId="150D27DC">
            <wp:extent cx="5943600" cy="3192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4812" cy="3192796"/>
                    </a:xfrm>
                    <a:prstGeom prst="rect">
                      <a:avLst/>
                    </a:prstGeom>
                  </pic:spPr>
                </pic:pic>
              </a:graphicData>
            </a:graphic>
          </wp:inline>
        </w:drawing>
      </w:r>
    </w:p>
    <w:p w14:paraId="585F5E9C" w14:textId="22885765" w:rsidR="00D853CE" w:rsidRDefault="00D853CE" w:rsidP="00D853CE">
      <w:pPr>
        <w:pStyle w:val="Caption"/>
        <w:rPr>
          <w:color w:val="000000" w:themeColor="text1"/>
        </w:rPr>
      </w:pPr>
      <w:r w:rsidRPr="001446ED">
        <w:rPr>
          <w:color w:val="000000" w:themeColor="text1"/>
        </w:rPr>
        <w:t xml:space="preserve">Figure </w:t>
      </w:r>
      <w:r w:rsidRPr="001446ED">
        <w:rPr>
          <w:color w:val="000000" w:themeColor="text1"/>
        </w:rPr>
        <w:fldChar w:fldCharType="begin"/>
      </w:r>
      <w:r w:rsidRPr="001446ED">
        <w:rPr>
          <w:color w:val="000000" w:themeColor="text1"/>
        </w:rPr>
        <w:instrText xml:space="preserve"> SEQ Figure \* ARABIC </w:instrText>
      </w:r>
      <w:r w:rsidRPr="001446ED">
        <w:rPr>
          <w:color w:val="000000" w:themeColor="text1"/>
        </w:rPr>
        <w:fldChar w:fldCharType="separate"/>
      </w:r>
      <w:r w:rsidR="002D58F6">
        <w:rPr>
          <w:noProof/>
          <w:color w:val="000000" w:themeColor="text1"/>
        </w:rPr>
        <w:t>7</w:t>
      </w:r>
      <w:r w:rsidRPr="001446ED">
        <w:rPr>
          <w:color w:val="000000" w:themeColor="text1"/>
        </w:rPr>
        <w:fldChar w:fldCharType="end"/>
      </w:r>
      <w:r w:rsidRPr="001446ED">
        <w:rPr>
          <w:color w:val="000000" w:themeColor="text1"/>
        </w:rPr>
        <w:t>: Incarceration Rates per 100,000 People in Upon Release States</w:t>
      </w:r>
      <w:r>
        <w:rPr>
          <w:rStyle w:val="FootnoteReference"/>
          <w:color w:val="000000" w:themeColor="text1"/>
        </w:rPr>
        <w:footnoteReference w:id="31"/>
      </w:r>
    </w:p>
    <w:p w14:paraId="5DBD6CDF" w14:textId="77777777" w:rsidR="00D853CE" w:rsidRPr="0000546E" w:rsidRDefault="00D853CE" w:rsidP="00D853CE">
      <w:pPr>
        <w:spacing w:line="480" w:lineRule="auto"/>
        <w:ind w:firstLine="720"/>
      </w:pPr>
      <w:r>
        <w:t xml:space="preserve">Importantly, however, as evidenced in Figure 8, many of the states in this category have more white prisoners than black prisoners. This aligns with the maintenance of power theory, because restoring felon voting rights in these states systematically benefits white people, which makes maintaining white power more likely. Again, the high incarceration rates for black Americans shows the disproportionate burden that felon disenfranchisement places on the black electorate.  </w:t>
      </w:r>
    </w:p>
    <w:p w14:paraId="60C82DC8" w14:textId="77777777" w:rsidR="002D58F6" w:rsidRDefault="002D58F6" w:rsidP="002D58F6">
      <w:pPr>
        <w:keepNext/>
      </w:pPr>
      <w:r>
        <w:rPr>
          <w:noProof/>
        </w:rPr>
        <w:lastRenderedPageBreak/>
        <w:drawing>
          <wp:inline distT="0" distB="0" distL="0" distR="0" wp14:anchorId="17421678" wp14:editId="19A02CDF">
            <wp:extent cx="5951172" cy="322823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9719" cy="3238291"/>
                    </a:xfrm>
                    <a:prstGeom prst="rect">
                      <a:avLst/>
                    </a:prstGeom>
                  </pic:spPr>
                </pic:pic>
              </a:graphicData>
            </a:graphic>
          </wp:inline>
        </w:drawing>
      </w:r>
    </w:p>
    <w:p w14:paraId="47069DEC" w14:textId="4EC8E4FF" w:rsidR="00D853CE" w:rsidRPr="002D58F6" w:rsidRDefault="002D58F6" w:rsidP="002D58F6">
      <w:pPr>
        <w:pStyle w:val="Caption"/>
        <w:rPr>
          <w:color w:val="000000" w:themeColor="text1"/>
        </w:rPr>
      </w:pPr>
      <w:r w:rsidRPr="002D58F6">
        <w:rPr>
          <w:color w:val="000000" w:themeColor="text1"/>
        </w:rPr>
        <w:t xml:space="preserve">Figure </w:t>
      </w:r>
      <w:r w:rsidRPr="002D58F6">
        <w:rPr>
          <w:color w:val="000000" w:themeColor="text1"/>
        </w:rPr>
        <w:fldChar w:fldCharType="begin"/>
      </w:r>
      <w:r w:rsidRPr="002D58F6">
        <w:rPr>
          <w:color w:val="000000" w:themeColor="text1"/>
        </w:rPr>
        <w:instrText xml:space="preserve"> SEQ Figure \* ARABIC </w:instrText>
      </w:r>
      <w:r w:rsidRPr="002D58F6">
        <w:rPr>
          <w:color w:val="000000" w:themeColor="text1"/>
        </w:rPr>
        <w:fldChar w:fldCharType="separate"/>
      </w:r>
      <w:r>
        <w:rPr>
          <w:noProof/>
          <w:color w:val="000000" w:themeColor="text1"/>
        </w:rPr>
        <w:t>8</w:t>
      </w:r>
      <w:r w:rsidRPr="002D58F6">
        <w:rPr>
          <w:color w:val="000000" w:themeColor="text1"/>
        </w:rPr>
        <w:fldChar w:fldCharType="end"/>
      </w:r>
      <w:r w:rsidRPr="002D58F6">
        <w:rPr>
          <w:color w:val="000000" w:themeColor="text1"/>
        </w:rPr>
        <w:t>: Number of Prisoners in States that Grant Voting Rights Upon Release</w:t>
      </w:r>
      <w:r w:rsidRPr="002D58F6">
        <w:rPr>
          <w:rStyle w:val="FootnoteReference"/>
          <w:color w:val="000000" w:themeColor="text1"/>
        </w:rPr>
        <w:footnoteReference w:id="32"/>
      </w:r>
    </w:p>
    <w:p w14:paraId="6E6F279D" w14:textId="77777777" w:rsidR="00D853CE" w:rsidRDefault="00D853CE" w:rsidP="00D853CE">
      <w:pPr>
        <w:spacing w:line="480" w:lineRule="auto"/>
        <w:ind w:firstLine="720"/>
      </w:pPr>
      <w:r>
        <w:t>Finally, in the last category of states, which allow felons to vote while in prison, the incarceration trend continues, as seen in Figure 9. Vermont and Maine have comparable white incarceration rates, but both states incarcerate black Americans at a significantly higher rate than white Americans.</w:t>
      </w:r>
    </w:p>
    <w:p w14:paraId="394F9E88" w14:textId="77777777" w:rsidR="00D853CE" w:rsidRDefault="00D853CE" w:rsidP="00D853CE">
      <w:pPr>
        <w:keepNext/>
      </w:pPr>
      <w:r>
        <w:rPr>
          <w:noProof/>
        </w:rPr>
        <w:lastRenderedPageBreak/>
        <w:drawing>
          <wp:inline distT="0" distB="0" distL="0" distR="0" wp14:anchorId="46CB9874" wp14:editId="0BA4842B">
            <wp:extent cx="5943600" cy="29178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51004" cy="2921460"/>
                    </a:xfrm>
                    <a:prstGeom prst="rect">
                      <a:avLst/>
                    </a:prstGeom>
                  </pic:spPr>
                </pic:pic>
              </a:graphicData>
            </a:graphic>
          </wp:inline>
        </w:drawing>
      </w:r>
    </w:p>
    <w:p w14:paraId="3E81A1D8" w14:textId="59743B8D" w:rsidR="00D853CE" w:rsidRDefault="00D853CE" w:rsidP="00D853CE">
      <w:pPr>
        <w:pStyle w:val="Caption"/>
        <w:rPr>
          <w:color w:val="000000" w:themeColor="text1"/>
        </w:rPr>
      </w:pPr>
      <w:r w:rsidRPr="00142F68">
        <w:rPr>
          <w:color w:val="000000" w:themeColor="text1"/>
        </w:rPr>
        <w:t xml:space="preserve">Figure </w:t>
      </w:r>
      <w:r w:rsidRPr="00142F68">
        <w:rPr>
          <w:color w:val="000000" w:themeColor="text1"/>
        </w:rPr>
        <w:fldChar w:fldCharType="begin"/>
      </w:r>
      <w:r w:rsidRPr="00142F68">
        <w:rPr>
          <w:color w:val="000000" w:themeColor="text1"/>
        </w:rPr>
        <w:instrText xml:space="preserve"> SEQ Figure \* ARABIC </w:instrText>
      </w:r>
      <w:r w:rsidRPr="00142F68">
        <w:rPr>
          <w:color w:val="000000" w:themeColor="text1"/>
        </w:rPr>
        <w:fldChar w:fldCharType="separate"/>
      </w:r>
      <w:r w:rsidR="002D58F6">
        <w:rPr>
          <w:noProof/>
          <w:color w:val="000000" w:themeColor="text1"/>
        </w:rPr>
        <w:t>9</w:t>
      </w:r>
      <w:r w:rsidRPr="00142F68">
        <w:rPr>
          <w:color w:val="000000" w:themeColor="text1"/>
        </w:rPr>
        <w:fldChar w:fldCharType="end"/>
      </w:r>
      <w:r w:rsidRPr="00142F68">
        <w:rPr>
          <w:color w:val="000000" w:themeColor="text1"/>
        </w:rPr>
        <w:t>: Incarceration Rates per 100,000 People in In Prison States</w:t>
      </w:r>
      <w:r w:rsidRPr="00142F68">
        <w:rPr>
          <w:rStyle w:val="FootnoteReference"/>
          <w:color w:val="000000" w:themeColor="text1"/>
        </w:rPr>
        <w:footnoteReference w:id="33"/>
      </w:r>
    </w:p>
    <w:p w14:paraId="0FC82A57" w14:textId="77777777" w:rsidR="00C148A7" w:rsidRDefault="00D853CE" w:rsidP="00C148A7">
      <w:pPr>
        <w:spacing w:line="480" w:lineRule="auto"/>
        <w:ind w:firstLine="720"/>
      </w:pPr>
      <w:r w:rsidRPr="0000546E">
        <w:t>However, in these states, Figure 10 shows that there is a clear disparity between the number of black inmates and the number of white inmates. I propose that these states allow felon disenfranchisement because it directly increases white leaders’ odds of staying in power. Disenfranchising felons in these states would affect a significantly larger number of white Americans than black Americans, so the solution was to enfranchise everyone to avoid this issue altogether.</w:t>
      </w:r>
      <w:r w:rsidR="00C148A7">
        <w:t xml:space="preserve"> </w:t>
      </w:r>
    </w:p>
    <w:p w14:paraId="71440A62" w14:textId="0C4A0E65" w:rsidR="00C148A7" w:rsidRPr="0000546E" w:rsidRDefault="00C148A7" w:rsidP="00C148A7">
      <w:pPr>
        <w:spacing w:line="480" w:lineRule="auto"/>
        <w:ind w:firstLine="720"/>
      </w:pPr>
      <w:r>
        <w:t xml:space="preserve">There is also a political explanation available for these two states. Vermont and Maine both tend to be classified as “blue states” and vote for democratic candidates in the majority of elections. Allowing black Americans to vote in </w:t>
      </w:r>
      <w:proofErr w:type="gramStart"/>
      <w:r>
        <w:t>this regions</w:t>
      </w:r>
      <w:proofErr w:type="gramEnd"/>
      <w:r>
        <w:t xml:space="preserve"> boosts democratic success because black voters historically and overwhelmingly choose liberal candidates.</w:t>
      </w:r>
      <w:r>
        <w:rPr>
          <w:rStyle w:val="FootnoteReference"/>
        </w:rPr>
        <w:footnoteReference w:id="34"/>
      </w:r>
      <w:r>
        <w:t xml:space="preserve"> </w:t>
      </w:r>
    </w:p>
    <w:p w14:paraId="2C519F7A" w14:textId="77777777" w:rsidR="002D58F6" w:rsidRDefault="002D58F6" w:rsidP="002D58F6">
      <w:pPr>
        <w:keepNext/>
      </w:pPr>
      <w:r>
        <w:rPr>
          <w:noProof/>
        </w:rPr>
        <w:lastRenderedPageBreak/>
        <w:drawing>
          <wp:inline distT="0" distB="0" distL="0" distR="0" wp14:anchorId="79851D86" wp14:editId="19C65BD8">
            <wp:extent cx="5943600" cy="3238141"/>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1346" cy="3242361"/>
                    </a:xfrm>
                    <a:prstGeom prst="rect">
                      <a:avLst/>
                    </a:prstGeom>
                  </pic:spPr>
                </pic:pic>
              </a:graphicData>
            </a:graphic>
          </wp:inline>
        </w:drawing>
      </w:r>
    </w:p>
    <w:p w14:paraId="18DBF977" w14:textId="0A7B0AA7" w:rsidR="00D853CE" w:rsidRPr="002D58F6" w:rsidRDefault="002D58F6" w:rsidP="002D58F6">
      <w:pPr>
        <w:pStyle w:val="Caption"/>
        <w:rPr>
          <w:color w:val="000000" w:themeColor="text1"/>
        </w:rPr>
      </w:pPr>
      <w:r w:rsidRPr="002D58F6">
        <w:rPr>
          <w:color w:val="000000" w:themeColor="text1"/>
        </w:rPr>
        <w:t xml:space="preserve">Figure </w:t>
      </w:r>
      <w:r w:rsidRPr="002D58F6">
        <w:rPr>
          <w:color w:val="000000" w:themeColor="text1"/>
        </w:rPr>
        <w:fldChar w:fldCharType="begin"/>
      </w:r>
      <w:r w:rsidRPr="002D58F6">
        <w:rPr>
          <w:color w:val="000000" w:themeColor="text1"/>
        </w:rPr>
        <w:instrText xml:space="preserve"> SEQ Figure \* ARABIC </w:instrText>
      </w:r>
      <w:r w:rsidRPr="002D58F6">
        <w:rPr>
          <w:color w:val="000000" w:themeColor="text1"/>
        </w:rPr>
        <w:fldChar w:fldCharType="separate"/>
      </w:r>
      <w:r>
        <w:rPr>
          <w:noProof/>
          <w:color w:val="000000" w:themeColor="text1"/>
        </w:rPr>
        <w:t>10</w:t>
      </w:r>
      <w:r w:rsidRPr="002D58F6">
        <w:rPr>
          <w:color w:val="000000" w:themeColor="text1"/>
        </w:rPr>
        <w:fldChar w:fldCharType="end"/>
      </w:r>
      <w:r w:rsidRPr="002D58F6">
        <w:rPr>
          <w:color w:val="000000" w:themeColor="text1"/>
        </w:rPr>
        <w:t>: Number of Prisoners in States that Grant Voting Rights in Prison</w:t>
      </w:r>
      <w:r>
        <w:rPr>
          <w:rStyle w:val="FootnoteReference"/>
          <w:color w:val="000000" w:themeColor="text1"/>
        </w:rPr>
        <w:footnoteReference w:id="35"/>
      </w:r>
    </w:p>
    <w:p w14:paraId="38212E16" w14:textId="1F3E90C4" w:rsidR="002B5966" w:rsidRPr="002B5966" w:rsidRDefault="002B5966" w:rsidP="00875C07">
      <w:pPr>
        <w:spacing w:line="480" w:lineRule="auto"/>
        <w:rPr>
          <w:b/>
        </w:rPr>
      </w:pPr>
      <w:r>
        <w:rPr>
          <w:b/>
        </w:rPr>
        <w:t>Maintenance of Power through Felon Disenfranchisement</w:t>
      </w:r>
    </w:p>
    <w:p w14:paraId="74D4A56D" w14:textId="58DD92B5" w:rsidR="00297032" w:rsidRDefault="004649E2" w:rsidP="002B5966">
      <w:pPr>
        <w:spacing w:line="480" w:lineRule="auto"/>
        <w:ind w:firstLine="720"/>
      </w:pPr>
      <w:r>
        <w:t xml:space="preserve">Given the current state of mass incarceration, even more inmates are currently jailed, and the racial disparities are more evident than ever. For this reason, I’m also including data regarding the percentages of black Americans who are currently disenfranchised. Table 2 shows a state-by-state breakdown of this data from 2016. </w:t>
      </w:r>
    </w:p>
    <w:tbl>
      <w:tblPr>
        <w:tblW w:w="8900" w:type="dxa"/>
        <w:tblLook w:val="04A0" w:firstRow="1" w:lastRow="0" w:firstColumn="1" w:lastColumn="0" w:noHBand="0" w:noVBand="1"/>
      </w:tblPr>
      <w:tblGrid>
        <w:gridCol w:w="1885"/>
        <w:gridCol w:w="3450"/>
        <w:gridCol w:w="3565"/>
      </w:tblGrid>
      <w:tr w:rsidR="007F1223" w:rsidRPr="007F1223" w14:paraId="1BEC837C" w14:textId="77777777" w:rsidTr="007F1223">
        <w:trPr>
          <w:trHeight w:val="320"/>
        </w:trPr>
        <w:tc>
          <w:tcPr>
            <w:tcW w:w="8900" w:type="dxa"/>
            <w:gridSpan w:val="3"/>
            <w:tcBorders>
              <w:top w:val="nil"/>
              <w:left w:val="single" w:sz="4" w:space="0" w:color="auto"/>
              <w:bottom w:val="nil"/>
              <w:right w:val="nil"/>
            </w:tcBorders>
            <w:shd w:val="clear" w:color="000000" w:fill="4472C4"/>
            <w:noWrap/>
            <w:vAlign w:val="bottom"/>
            <w:hideMark/>
          </w:tcPr>
          <w:p w14:paraId="5387CDBC" w14:textId="3BBE732E" w:rsidR="007F1223" w:rsidRPr="007F1223" w:rsidRDefault="007F1223" w:rsidP="007F1223">
            <w:pPr>
              <w:jc w:val="center"/>
              <w:rPr>
                <w:rFonts w:ascii="Calibri" w:eastAsia="Times New Roman" w:hAnsi="Calibri"/>
                <w:color w:val="FFFFFF"/>
                <w:shd w:val="clear" w:color="auto" w:fill="auto"/>
              </w:rPr>
            </w:pPr>
            <w:r w:rsidRPr="007F1223">
              <w:rPr>
                <w:rFonts w:ascii="Calibri" w:eastAsia="Times New Roman" w:hAnsi="Calibri"/>
                <w:color w:val="FFFFFF"/>
                <w:shd w:val="clear" w:color="auto" w:fill="auto"/>
              </w:rPr>
              <w:t>National Disenfr</w:t>
            </w:r>
            <w:r>
              <w:rPr>
                <w:rFonts w:ascii="Calibri" w:eastAsia="Times New Roman" w:hAnsi="Calibri"/>
                <w:color w:val="FFFFFF"/>
                <w:shd w:val="clear" w:color="auto" w:fill="auto"/>
              </w:rPr>
              <w:t>a</w:t>
            </w:r>
            <w:r w:rsidRPr="007F1223">
              <w:rPr>
                <w:rFonts w:ascii="Calibri" w:eastAsia="Times New Roman" w:hAnsi="Calibri"/>
                <w:color w:val="FFFFFF"/>
                <w:shd w:val="clear" w:color="auto" w:fill="auto"/>
              </w:rPr>
              <w:t>nchisement Rates</w:t>
            </w:r>
          </w:p>
        </w:tc>
      </w:tr>
      <w:tr w:rsidR="007F1223" w:rsidRPr="007F1223" w14:paraId="51DFFAAC"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CEBE2" w14:textId="77777777" w:rsidR="007F1223" w:rsidRPr="007F1223" w:rsidRDefault="007F1223" w:rsidP="007F1223">
            <w:pPr>
              <w:rPr>
                <w:rFonts w:eastAsia="Times New Roman"/>
                <w:b/>
                <w:bCs/>
                <w:color w:val="000000"/>
                <w:shd w:val="clear" w:color="auto" w:fill="auto"/>
              </w:rPr>
            </w:pPr>
            <w:r w:rsidRPr="007F1223">
              <w:rPr>
                <w:rFonts w:eastAsia="Times New Roman"/>
                <w:b/>
                <w:bCs/>
                <w:color w:val="000000"/>
                <w:shd w:val="clear" w:color="auto" w:fill="auto"/>
              </w:rPr>
              <w:t>State</w:t>
            </w:r>
          </w:p>
        </w:tc>
        <w:tc>
          <w:tcPr>
            <w:tcW w:w="3450" w:type="dxa"/>
            <w:tcBorders>
              <w:top w:val="single" w:sz="4" w:space="0" w:color="auto"/>
              <w:left w:val="nil"/>
              <w:bottom w:val="single" w:sz="4" w:space="0" w:color="auto"/>
              <w:right w:val="single" w:sz="4" w:space="0" w:color="auto"/>
            </w:tcBorders>
            <w:shd w:val="clear" w:color="auto" w:fill="auto"/>
            <w:noWrap/>
            <w:vAlign w:val="bottom"/>
            <w:hideMark/>
          </w:tcPr>
          <w:p w14:paraId="62723403" w14:textId="77777777" w:rsidR="007F1223" w:rsidRPr="007F1223" w:rsidRDefault="007F1223" w:rsidP="007F1223">
            <w:pPr>
              <w:rPr>
                <w:rFonts w:eastAsia="Times New Roman"/>
                <w:b/>
                <w:bCs/>
                <w:color w:val="000000"/>
                <w:shd w:val="clear" w:color="auto" w:fill="auto"/>
              </w:rPr>
            </w:pPr>
            <w:r w:rsidRPr="007F1223">
              <w:rPr>
                <w:rFonts w:eastAsia="Times New Roman"/>
                <w:b/>
                <w:bCs/>
                <w:color w:val="000000"/>
                <w:shd w:val="clear" w:color="auto" w:fill="auto"/>
              </w:rPr>
              <w:t>Total Disenfranchisement Rate</w:t>
            </w:r>
          </w:p>
        </w:tc>
        <w:tc>
          <w:tcPr>
            <w:tcW w:w="3565" w:type="dxa"/>
            <w:tcBorders>
              <w:top w:val="single" w:sz="4" w:space="0" w:color="auto"/>
              <w:left w:val="nil"/>
              <w:bottom w:val="single" w:sz="4" w:space="0" w:color="auto"/>
              <w:right w:val="single" w:sz="4" w:space="0" w:color="auto"/>
            </w:tcBorders>
            <w:shd w:val="clear" w:color="auto" w:fill="auto"/>
            <w:noWrap/>
            <w:vAlign w:val="bottom"/>
            <w:hideMark/>
          </w:tcPr>
          <w:p w14:paraId="52423B0B" w14:textId="77777777" w:rsidR="007F1223" w:rsidRPr="007F1223" w:rsidRDefault="007F1223" w:rsidP="007F1223">
            <w:pPr>
              <w:rPr>
                <w:rFonts w:eastAsia="Times New Roman"/>
                <w:b/>
                <w:bCs/>
                <w:color w:val="000000"/>
                <w:shd w:val="clear" w:color="auto" w:fill="auto"/>
              </w:rPr>
            </w:pPr>
            <w:r w:rsidRPr="007F1223">
              <w:rPr>
                <w:rFonts w:eastAsia="Times New Roman"/>
                <w:b/>
                <w:bCs/>
                <w:color w:val="000000"/>
                <w:shd w:val="clear" w:color="auto" w:fill="auto"/>
              </w:rPr>
              <w:t>Black Disenfranchisement Rate</w:t>
            </w:r>
          </w:p>
        </w:tc>
      </w:tr>
      <w:tr w:rsidR="007F1223" w:rsidRPr="007F1223" w14:paraId="7E4351B5"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A084FC"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Alabama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A6B9F"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7.62</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F95D1"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15.11</w:t>
            </w:r>
          </w:p>
        </w:tc>
      </w:tr>
      <w:tr w:rsidR="007F1223" w:rsidRPr="007F1223" w14:paraId="59233CF0"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28456"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Alaska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BD38D"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2.61</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F88E3"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6.83</w:t>
            </w:r>
          </w:p>
        </w:tc>
      </w:tr>
      <w:tr w:rsidR="007F1223" w:rsidRPr="007F1223" w14:paraId="1BA0ED55"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5A02D"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Arizona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EA1C8"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4.25</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161C8"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11.89</w:t>
            </w:r>
          </w:p>
        </w:tc>
      </w:tr>
      <w:tr w:rsidR="007F1223" w:rsidRPr="007F1223" w14:paraId="44EE6E1F"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D87C9"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Arkansas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EDC73"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2.93</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BE49F"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7.83</w:t>
            </w:r>
          </w:p>
        </w:tc>
      </w:tr>
      <w:tr w:rsidR="007F1223" w:rsidRPr="007F1223" w14:paraId="1216577D"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3643F"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California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97537"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0.74</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29EE4"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3.41</w:t>
            </w:r>
          </w:p>
        </w:tc>
      </w:tr>
      <w:tr w:rsidR="007F1223" w:rsidRPr="007F1223" w14:paraId="7B97B2B5"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714E6"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Colorado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9A82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0.74</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3B51B"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3.39</w:t>
            </w:r>
          </w:p>
        </w:tc>
      </w:tr>
      <w:tr w:rsidR="007F1223" w:rsidRPr="007F1223" w14:paraId="5C5E0285"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FCB29"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Connecticut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18BA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0.61</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87D5B"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2.66</w:t>
            </w:r>
          </w:p>
        </w:tc>
      </w:tr>
      <w:tr w:rsidR="007F1223" w:rsidRPr="007F1223" w14:paraId="778A38A1"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388E7"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Delaware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7BE9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2.12</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68071"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5.35</w:t>
            </w:r>
          </w:p>
        </w:tc>
      </w:tr>
      <w:tr w:rsidR="007F1223" w:rsidRPr="007F1223" w14:paraId="19FD67A9"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B6091"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Florida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459B1"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10.43</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11ABED"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21.35</w:t>
            </w:r>
          </w:p>
        </w:tc>
      </w:tr>
      <w:tr w:rsidR="007F1223" w:rsidRPr="007F1223" w14:paraId="111CF1D8"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E7997"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lastRenderedPageBreak/>
              <w:t>Georgia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B5C5C"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3.23</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332B3"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6.28</w:t>
            </w:r>
          </w:p>
        </w:tc>
      </w:tr>
      <w:tr w:rsidR="007F1223" w:rsidRPr="007F1223" w14:paraId="238E38FC"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6A5D7"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Hawaii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4EFB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0.57</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C10D3"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1.13</w:t>
            </w:r>
          </w:p>
        </w:tc>
      </w:tr>
      <w:tr w:rsidR="007F1223" w:rsidRPr="007F1223" w14:paraId="295A0A2F"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2CD638"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Idaho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2DE7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1.89</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C3C17"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6.98</w:t>
            </w:r>
          </w:p>
        </w:tc>
      </w:tr>
      <w:tr w:rsidR="007F1223" w:rsidRPr="007F1223" w14:paraId="1A669B43"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58004"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Illinois</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D1C94"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0.5</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E2ECF"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1.98</w:t>
            </w:r>
          </w:p>
        </w:tc>
      </w:tr>
      <w:tr w:rsidR="007F1223" w:rsidRPr="007F1223" w14:paraId="3070D591"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F0791"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Indiana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248A6"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2.17</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9F5A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2.32</w:t>
            </w:r>
          </w:p>
        </w:tc>
      </w:tr>
      <w:tr w:rsidR="007F1223" w:rsidRPr="007F1223" w14:paraId="098B282D"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DD85D"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Iowa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26CEF"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0.59</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9DE2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9.84</w:t>
            </w:r>
          </w:p>
        </w:tc>
      </w:tr>
      <w:tr w:rsidR="007F1223" w:rsidRPr="007F1223" w14:paraId="16DD8D0E"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102D1"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Kansas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5D5C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0.8</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881D6D"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4.29</w:t>
            </w:r>
          </w:p>
        </w:tc>
      </w:tr>
      <w:tr w:rsidR="007F1223" w:rsidRPr="007F1223" w14:paraId="48C5D77D"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91D3D"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Kentucky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38E1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9.14</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FF063"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26.15</w:t>
            </w:r>
          </w:p>
        </w:tc>
      </w:tr>
      <w:tr w:rsidR="007F1223" w:rsidRPr="007F1223" w14:paraId="77EE85EA"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E8A1DC"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Louisiana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671C1"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3.04</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6C41F"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6.27</w:t>
            </w:r>
          </w:p>
        </w:tc>
      </w:tr>
      <w:tr w:rsidR="007F1223" w:rsidRPr="007F1223" w14:paraId="45EF1B50"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46C1B"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Maine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3F24C"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300B6"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w:t>
            </w:r>
          </w:p>
        </w:tc>
      </w:tr>
      <w:tr w:rsidR="007F1223" w:rsidRPr="007F1223" w14:paraId="4494DB57"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793B3"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Maryland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9E004"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0.45</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3D6D2"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1.14</w:t>
            </w:r>
          </w:p>
        </w:tc>
      </w:tr>
      <w:tr w:rsidR="007F1223" w:rsidRPr="007F1223" w14:paraId="4F5FDC50"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F7EC6"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Massachusetts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F2BC6"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0.21</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F2D76"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0.83</w:t>
            </w:r>
          </w:p>
        </w:tc>
      </w:tr>
      <w:tr w:rsidR="007F1223" w:rsidRPr="007F1223" w14:paraId="2D4ED3E7"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3B7BD"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Michigan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FC9CDC"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0.57</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A7D89"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2.24</w:t>
            </w:r>
          </w:p>
        </w:tc>
      </w:tr>
      <w:tr w:rsidR="007F1223" w:rsidRPr="007F1223" w14:paraId="4894CDD0"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4044F"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Minnesota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617CD"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1.51</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BE9CB"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7.34</w:t>
            </w:r>
          </w:p>
        </w:tc>
      </w:tr>
      <w:tr w:rsidR="007F1223" w:rsidRPr="007F1223" w14:paraId="08C71F78"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87FD4"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Mississippi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CA4A2"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9.63</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4B2AC"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15.85</w:t>
            </w:r>
          </w:p>
        </w:tc>
      </w:tr>
      <w:tr w:rsidR="007F1223" w:rsidRPr="007F1223" w14:paraId="666E2A64"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EEDCC"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Missouri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59596"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1.91</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8533C"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5.78</w:t>
            </w:r>
          </w:p>
        </w:tc>
      </w:tr>
      <w:tr w:rsidR="007F1223" w:rsidRPr="007F1223" w14:paraId="11AC6679"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D3970"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Montana</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141E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0.51</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8ED17"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4.8</w:t>
            </w:r>
          </w:p>
        </w:tc>
      </w:tr>
      <w:tr w:rsidR="007F1223" w:rsidRPr="007F1223" w14:paraId="4AB857CA"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3DEA4"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Nebraska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0F346"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1.23</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19906"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5.6</w:t>
            </w:r>
          </w:p>
        </w:tc>
      </w:tr>
      <w:tr w:rsidR="007F1223" w:rsidRPr="007F1223" w14:paraId="5B65DB6E"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CCDB5"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Nevada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C4CC2"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4.02</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96434"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11.76</w:t>
            </w:r>
          </w:p>
        </w:tc>
      </w:tr>
      <w:tr w:rsidR="007F1223" w:rsidRPr="007F1223" w14:paraId="22E46AD5"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0022B"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New Hampshire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02B73"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0.28</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FB02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1.57</w:t>
            </w:r>
          </w:p>
        </w:tc>
      </w:tr>
      <w:tr w:rsidR="007F1223" w:rsidRPr="007F1223" w14:paraId="6BF684E4"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3317D"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New Jersey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E6685"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1.36</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FDB8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5.28</w:t>
            </w:r>
          </w:p>
        </w:tc>
      </w:tr>
      <w:tr w:rsidR="007F1223" w:rsidRPr="007F1223" w14:paraId="6516B30F"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50268"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New Mexico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A390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1.53</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BAFD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4.71</w:t>
            </w:r>
          </w:p>
        </w:tc>
      </w:tr>
      <w:tr w:rsidR="007F1223" w:rsidRPr="007F1223" w14:paraId="7A962B7F"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0375E"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New York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8E0B9"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0.63</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91EF4C"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2.03</w:t>
            </w:r>
          </w:p>
        </w:tc>
      </w:tr>
      <w:tr w:rsidR="007F1223" w:rsidRPr="007F1223" w14:paraId="6C6EFF8D"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F8EC3"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North Carolina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4B0C5"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1.18</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E5EF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2.63</w:t>
            </w:r>
          </w:p>
        </w:tc>
      </w:tr>
      <w:tr w:rsidR="007F1223" w:rsidRPr="007F1223" w14:paraId="560B7E96"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EB6C9"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North Dakota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C732E1"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0.37</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7D74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2.07</w:t>
            </w:r>
          </w:p>
        </w:tc>
      </w:tr>
      <w:tr w:rsidR="007F1223" w:rsidRPr="007F1223" w14:paraId="2DDA0068"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0423A0"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Ohio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77084"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0.59</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4450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2.32</w:t>
            </w:r>
          </w:p>
        </w:tc>
      </w:tr>
      <w:tr w:rsidR="007F1223" w:rsidRPr="007F1223" w14:paraId="3B7E53D8"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E52DA"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Oklahoma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D2A19"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1.98</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D4BDB3"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6.77</w:t>
            </w:r>
          </w:p>
        </w:tc>
      </w:tr>
      <w:tr w:rsidR="007F1223" w:rsidRPr="007F1223" w14:paraId="4ED3C3B8"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35ACF"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Oregon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FB322"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0.47</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7E39D"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2.62</w:t>
            </w:r>
          </w:p>
        </w:tc>
      </w:tr>
      <w:tr w:rsidR="007F1223" w:rsidRPr="007F1223" w14:paraId="2C205E51"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840D6"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Pennsylvania</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C2729"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0.52</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72C6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2.46</w:t>
            </w:r>
          </w:p>
        </w:tc>
      </w:tr>
      <w:tr w:rsidR="007F1223" w:rsidRPr="007F1223" w14:paraId="52AD10AF"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CF018B"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Rhode Island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7B3392"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0.4</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764E78"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2.03</w:t>
            </w:r>
          </w:p>
        </w:tc>
      </w:tr>
      <w:tr w:rsidR="007F1223" w:rsidRPr="007F1223" w14:paraId="1B421697"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5E12A"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South Carolina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BEF0F"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1.24</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EF462"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3.84</w:t>
            </w:r>
          </w:p>
        </w:tc>
      </w:tr>
      <w:tr w:rsidR="007F1223" w:rsidRPr="007F1223" w14:paraId="1AA34769"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69612B"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South Dakota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C17EF2"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1.61</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FD8F6"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3.84</w:t>
            </w:r>
          </w:p>
        </w:tc>
      </w:tr>
      <w:tr w:rsidR="007F1223" w:rsidRPr="007F1223" w14:paraId="5D9BE827"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74C28"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Tennessee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1592C"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8.26</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6C12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21.27</w:t>
            </w:r>
          </w:p>
        </w:tc>
      </w:tr>
      <w:tr w:rsidR="007F1223" w:rsidRPr="007F1223" w14:paraId="70231D74"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5FFDA"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Texas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5264F"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2.45</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B95EB"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6.17</w:t>
            </w:r>
          </w:p>
        </w:tc>
      </w:tr>
      <w:tr w:rsidR="007F1223" w:rsidRPr="007F1223" w14:paraId="0A416777"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DD71E"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Utah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243A3"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0.37</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97E5C"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3.18</w:t>
            </w:r>
          </w:p>
        </w:tc>
      </w:tr>
      <w:tr w:rsidR="007F1223" w:rsidRPr="007F1223" w14:paraId="43E1028B"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2B041E"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Vermont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49BC1B"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21D0B"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w:t>
            </w:r>
          </w:p>
        </w:tc>
      </w:tr>
      <w:tr w:rsidR="007F1223" w:rsidRPr="007F1223" w14:paraId="7E93F469"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B5647"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Virginia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99BC15"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7.81</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146C0"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21.9</w:t>
            </w:r>
          </w:p>
        </w:tc>
      </w:tr>
      <w:tr w:rsidR="007F1223" w:rsidRPr="007F1223" w14:paraId="587D4FC6"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456FC"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Washington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9B851"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0.87</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0F329"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3.71</w:t>
            </w:r>
          </w:p>
        </w:tc>
      </w:tr>
      <w:tr w:rsidR="007F1223" w:rsidRPr="007F1223" w14:paraId="76A5ECD4"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A3DB6"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West Virginia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E66B4"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1.01</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6DD55"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3.55</w:t>
            </w:r>
          </w:p>
        </w:tc>
      </w:tr>
      <w:tr w:rsidR="007F1223" w:rsidRPr="007F1223" w14:paraId="43FC9F62"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7B70E2"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lastRenderedPageBreak/>
              <w:t>Wisconsin </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A66F48"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1.47</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80D8D"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8.75</w:t>
            </w:r>
          </w:p>
        </w:tc>
      </w:tr>
      <w:tr w:rsidR="007F1223" w:rsidRPr="007F1223" w14:paraId="32AD8DEB" w14:textId="77777777" w:rsidTr="002B5966">
        <w:trPr>
          <w:trHeight w:val="320"/>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B3F2E" w14:textId="77777777" w:rsidR="007F1223" w:rsidRPr="007F1223" w:rsidRDefault="007F1223" w:rsidP="007F1223">
            <w:pPr>
              <w:rPr>
                <w:rFonts w:eastAsia="Times New Roman"/>
                <w:color w:val="000000"/>
                <w:shd w:val="clear" w:color="auto" w:fill="auto"/>
              </w:rPr>
            </w:pPr>
            <w:r w:rsidRPr="007F1223">
              <w:rPr>
                <w:rFonts w:eastAsia="Times New Roman"/>
                <w:color w:val="000000"/>
                <w:shd w:val="clear" w:color="auto" w:fill="auto"/>
              </w:rPr>
              <w:t>Wyoming</w:t>
            </w:r>
          </w:p>
        </w:tc>
        <w:tc>
          <w:tcPr>
            <w:tcW w:w="34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3939E" w14:textId="77777777" w:rsidR="007F1223" w:rsidRPr="007F1223" w:rsidRDefault="007F1223" w:rsidP="007F1223">
            <w:pPr>
              <w:jc w:val="right"/>
              <w:rPr>
                <w:rFonts w:eastAsia="Times New Roman"/>
                <w:color w:val="000000"/>
                <w:shd w:val="clear" w:color="auto" w:fill="auto"/>
              </w:rPr>
            </w:pPr>
            <w:r w:rsidRPr="007F1223">
              <w:rPr>
                <w:rFonts w:eastAsia="Times New Roman"/>
                <w:color w:val="000000"/>
                <w:shd w:val="clear" w:color="auto" w:fill="auto"/>
              </w:rPr>
              <w:t>5.33</w:t>
            </w:r>
          </w:p>
        </w:tc>
        <w:tc>
          <w:tcPr>
            <w:tcW w:w="35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B2C7F3" w14:textId="77777777" w:rsidR="007F1223" w:rsidRPr="007F1223" w:rsidRDefault="007F1223" w:rsidP="007F1223">
            <w:pPr>
              <w:keepNext/>
              <w:jc w:val="right"/>
              <w:rPr>
                <w:rFonts w:eastAsia="Times New Roman"/>
                <w:color w:val="000000"/>
                <w:shd w:val="clear" w:color="auto" w:fill="auto"/>
              </w:rPr>
            </w:pPr>
            <w:r w:rsidRPr="007F1223">
              <w:rPr>
                <w:rFonts w:eastAsia="Times New Roman"/>
                <w:color w:val="000000"/>
                <w:shd w:val="clear" w:color="auto" w:fill="auto"/>
              </w:rPr>
              <w:t>17.18</w:t>
            </w:r>
          </w:p>
        </w:tc>
      </w:tr>
    </w:tbl>
    <w:p w14:paraId="35959CCA" w14:textId="2443A507" w:rsidR="004649E2" w:rsidRPr="007F1223" w:rsidRDefault="007F1223" w:rsidP="007F1223">
      <w:pPr>
        <w:pStyle w:val="Caption"/>
        <w:rPr>
          <w:color w:val="000000" w:themeColor="text1"/>
        </w:rPr>
      </w:pPr>
      <w:bookmarkStart w:id="2" w:name="_Toc536798351"/>
      <w:r w:rsidRPr="007F1223">
        <w:rPr>
          <w:color w:val="000000" w:themeColor="text1"/>
        </w:rPr>
        <w:t xml:space="preserve">Table </w:t>
      </w:r>
      <w:r w:rsidR="000B00F2">
        <w:rPr>
          <w:color w:val="000000" w:themeColor="text1"/>
        </w:rPr>
        <w:fldChar w:fldCharType="begin"/>
      </w:r>
      <w:r w:rsidR="000B00F2">
        <w:rPr>
          <w:color w:val="000000" w:themeColor="text1"/>
        </w:rPr>
        <w:instrText xml:space="preserve"> SEQ Table \* ARABIC </w:instrText>
      </w:r>
      <w:r w:rsidR="000B00F2">
        <w:rPr>
          <w:color w:val="000000" w:themeColor="text1"/>
        </w:rPr>
        <w:fldChar w:fldCharType="separate"/>
      </w:r>
      <w:r w:rsidR="002D58F6">
        <w:rPr>
          <w:noProof/>
          <w:color w:val="000000" w:themeColor="text1"/>
        </w:rPr>
        <w:t>2</w:t>
      </w:r>
      <w:r w:rsidR="000B00F2">
        <w:rPr>
          <w:color w:val="000000" w:themeColor="text1"/>
        </w:rPr>
        <w:fldChar w:fldCharType="end"/>
      </w:r>
      <w:r w:rsidRPr="007F1223">
        <w:rPr>
          <w:color w:val="000000" w:themeColor="text1"/>
        </w:rPr>
        <w:t xml:space="preserve">: </w:t>
      </w:r>
      <w:r w:rsidR="00D50E5E">
        <w:rPr>
          <w:color w:val="000000" w:themeColor="text1"/>
        </w:rPr>
        <w:t>State-by-</w:t>
      </w:r>
      <w:r w:rsidR="002B5966">
        <w:rPr>
          <w:color w:val="000000" w:themeColor="text1"/>
        </w:rPr>
        <w:t>S</w:t>
      </w:r>
      <w:r w:rsidR="00D50E5E">
        <w:rPr>
          <w:color w:val="000000" w:themeColor="text1"/>
        </w:rPr>
        <w:t>tate</w:t>
      </w:r>
      <w:r w:rsidR="00D50E5E" w:rsidRPr="007F1223">
        <w:rPr>
          <w:color w:val="000000" w:themeColor="text1"/>
        </w:rPr>
        <w:t xml:space="preserve"> </w:t>
      </w:r>
      <w:r w:rsidRPr="007F1223">
        <w:rPr>
          <w:color w:val="000000" w:themeColor="text1"/>
        </w:rPr>
        <w:t>Felon Disenfranchisement Rates</w:t>
      </w:r>
      <w:r w:rsidR="00F42558">
        <w:rPr>
          <w:rStyle w:val="FootnoteReference"/>
          <w:color w:val="000000" w:themeColor="text1"/>
        </w:rPr>
        <w:footnoteReference w:id="36"/>
      </w:r>
      <w:bookmarkEnd w:id="2"/>
    </w:p>
    <w:p w14:paraId="41C9A274" w14:textId="77777777" w:rsidR="000B6C42" w:rsidRDefault="000B6C42" w:rsidP="00035410">
      <w:pPr>
        <w:keepNext/>
      </w:pPr>
      <w:r>
        <w:rPr>
          <w:noProof/>
        </w:rPr>
        <w:drawing>
          <wp:inline distT="0" distB="0" distL="0" distR="0" wp14:anchorId="45CACF7C" wp14:editId="4EA01079">
            <wp:extent cx="5939624" cy="3625795"/>
            <wp:effectExtent l="0" t="0" r="4445" b="0"/>
            <wp:docPr id="6" name="Chart 6">
              <a:extLst xmlns:a="http://schemas.openxmlformats.org/drawingml/2006/main">
                <a:ext uri="{FF2B5EF4-FFF2-40B4-BE49-F238E27FC236}">
                  <a16:creationId xmlns:a16="http://schemas.microsoft.com/office/drawing/2014/main" id="{27F7D055-B08D-0E40-B60B-775D1ECC4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C254C66" w14:textId="2F9898D1" w:rsidR="000B6C42" w:rsidRPr="000B6C42" w:rsidRDefault="000B6C42" w:rsidP="00035410">
      <w:pPr>
        <w:pStyle w:val="Caption"/>
        <w:rPr>
          <w:color w:val="000000" w:themeColor="text1"/>
        </w:rPr>
      </w:pPr>
      <w:bookmarkStart w:id="4" w:name="_Toc536798342"/>
      <w:r w:rsidRPr="000B6C42">
        <w:rPr>
          <w:color w:val="000000" w:themeColor="text1"/>
        </w:rPr>
        <w:t xml:space="preserve">Figure </w:t>
      </w:r>
      <w:r w:rsidRPr="000B6C42">
        <w:rPr>
          <w:color w:val="000000" w:themeColor="text1"/>
        </w:rPr>
        <w:fldChar w:fldCharType="begin"/>
      </w:r>
      <w:r w:rsidRPr="000B6C42">
        <w:rPr>
          <w:color w:val="000000" w:themeColor="text1"/>
        </w:rPr>
        <w:instrText xml:space="preserve"> SEQ Figure \* ARABIC </w:instrText>
      </w:r>
      <w:r w:rsidRPr="000B6C42">
        <w:rPr>
          <w:color w:val="000000" w:themeColor="text1"/>
        </w:rPr>
        <w:fldChar w:fldCharType="separate"/>
      </w:r>
      <w:r w:rsidR="002D58F6">
        <w:rPr>
          <w:noProof/>
          <w:color w:val="000000" w:themeColor="text1"/>
        </w:rPr>
        <w:t>11</w:t>
      </w:r>
      <w:r w:rsidRPr="000B6C42">
        <w:rPr>
          <w:color w:val="000000" w:themeColor="text1"/>
        </w:rPr>
        <w:fldChar w:fldCharType="end"/>
      </w:r>
      <w:r w:rsidRPr="000B6C42">
        <w:rPr>
          <w:color w:val="000000" w:themeColor="text1"/>
        </w:rPr>
        <w:t>: Region I</w:t>
      </w:r>
      <w:r w:rsidR="00035410">
        <w:rPr>
          <w:color w:val="000000" w:themeColor="text1"/>
        </w:rPr>
        <w:t>: Northeastern</w:t>
      </w:r>
      <w:r w:rsidRPr="000B6C42">
        <w:rPr>
          <w:color w:val="000000" w:themeColor="text1"/>
        </w:rPr>
        <w:t xml:space="preserve"> Felon Disenfranchisement Rates</w:t>
      </w:r>
      <w:r w:rsidR="00AD4CE9">
        <w:rPr>
          <w:rStyle w:val="FootnoteReference"/>
          <w:color w:val="000000" w:themeColor="text1"/>
        </w:rPr>
        <w:footnoteReference w:id="37"/>
      </w:r>
      <w:bookmarkEnd w:id="4"/>
    </w:p>
    <w:p w14:paraId="62165A84" w14:textId="4A71410D" w:rsidR="000B6C42" w:rsidRDefault="00AD4CE9" w:rsidP="00AD4CE9">
      <w:pPr>
        <w:spacing w:line="480" w:lineRule="auto"/>
        <w:ind w:firstLine="720"/>
      </w:pPr>
      <w:r>
        <w:t xml:space="preserve">Figure </w:t>
      </w:r>
      <w:r w:rsidR="00035410">
        <w:t>11</w:t>
      </w:r>
      <w:r>
        <w:t xml:space="preserve"> shows the disparities between disenfranchisement rates for the entire population versus the black population of each state in </w:t>
      </w:r>
      <w:r w:rsidR="00035410">
        <w:t>the northeast</w:t>
      </w:r>
      <w:r>
        <w:t xml:space="preserve">. In </w:t>
      </w:r>
      <w:r w:rsidR="00035410">
        <w:t>this region</w:t>
      </w:r>
      <w:r>
        <w:t xml:space="preserve">, each of the states tend to have more anti-disenfranchisement policies in place, but like all other regions, each state has a higher black disenfranchisement rate than the </w:t>
      </w:r>
      <w:r w:rsidR="003A3649">
        <w:t xml:space="preserve">general </w:t>
      </w:r>
      <w:r>
        <w:t xml:space="preserve">disenfranchisement rate. In this region, there is a direct relationship </w:t>
      </w:r>
      <w:r w:rsidR="00035410">
        <w:t>in</w:t>
      </w:r>
      <w:r>
        <w:t xml:space="preserve"> the disparity between the black and total disenfranchisement rates and the severity of the felon disenfranchisement laws. </w:t>
      </w:r>
      <w:r w:rsidR="00E527EE">
        <w:t>For instance</w:t>
      </w:r>
      <w:r>
        <w:t>, New Jersey has the strictest felon disenfranchisement laws</w:t>
      </w:r>
      <w:r w:rsidR="00E527EE">
        <w:t xml:space="preserve"> in</w:t>
      </w:r>
      <w:r w:rsidR="00035410">
        <w:t xml:space="preserve"> the</w:t>
      </w:r>
      <w:r w:rsidR="00E527EE">
        <w:t xml:space="preserve"> Northeast</w:t>
      </w:r>
      <w:r>
        <w:t xml:space="preserve">, while maintaining the greatest disparity between the </w:t>
      </w:r>
      <w:r w:rsidR="00E527EE">
        <w:t xml:space="preserve">general incarceration rate and Black incarceration </w:t>
      </w:r>
      <w:r>
        <w:t xml:space="preserve">rate. </w:t>
      </w:r>
      <w:r>
        <w:lastRenderedPageBreak/>
        <w:t xml:space="preserve">Connecticut, with the second greatest disparity, has the second </w:t>
      </w:r>
      <w:proofErr w:type="spellStart"/>
      <w:r>
        <w:t>stricted</w:t>
      </w:r>
      <w:proofErr w:type="spellEnd"/>
      <w:r>
        <w:t xml:space="preserve"> felon disenfranchisement laws. </w:t>
      </w:r>
    </w:p>
    <w:p w14:paraId="1E49AF78" w14:textId="77777777" w:rsidR="00AD4CE9" w:rsidRDefault="00AD4CE9" w:rsidP="00035410">
      <w:pPr>
        <w:keepNext/>
      </w:pPr>
      <w:r>
        <w:rPr>
          <w:noProof/>
        </w:rPr>
        <w:drawing>
          <wp:inline distT="0" distB="0" distL="0" distR="0" wp14:anchorId="63B4A4E8" wp14:editId="6DA4E20C">
            <wp:extent cx="5947576" cy="3482671"/>
            <wp:effectExtent l="0" t="0" r="0" b="0"/>
            <wp:docPr id="7" name="Chart 7">
              <a:extLst xmlns:a="http://schemas.openxmlformats.org/drawingml/2006/main">
                <a:ext uri="{FF2B5EF4-FFF2-40B4-BE49-F238E27FC236}">
                  <a16:creationId xmlns:a16="http://schemas.microsoft.com/office/drawing/2014/main" id="{539F5AFC-70EB-2A49-83D1-9EC596F0B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5A13E39" w14:textId="59A4C4AD" w:rsidR="00AD4CE9" w:rsidRPr="00AD4CE9" w:rsidRDefault="00AD4CE9" w:rsidP="00035410">
      <w:pPr>
        <w:pStyle w:val="Caption"/>
        <w:rPr>
          <w:color w:val="000000" w:themeColor="text1"/>
        </w:rPr>
      </w:pPr>
      <w:bookmarkStart w:id="5" w:name="_Toc536798343"/>
      <w:r w:rsidRPr="00AD4CE9">
        <w:rPr>
          <w:color w:val="000000" w:themeColor="text1"/>
        </w:rPr>
        <w:t xml:space="preserve">Figure </w:t>
      </w:r>
      <w:r w:rsidRPr="00AD4CE9">
        <w:rPr>
          <w:color w:val="000000" w:themeColor="text1"/>
        </w:rPr>
        <w:fldChar w:fldCharType="begin"/>
      </w:r>
      <w:r w:rsidRPr="00AD4CE9">
        <w:rPr>
          <w:color w:val="000000" w:themeColor="text1"/>
        </w:rPr>
        <w:instrText xml:space="preserve"> SEQ Figure \* ARABIC </w:instrText>
      </w:r>
      <w:r w:rsidRPr="00AD4CE9">
        <w:rPr>
          <w:color w:val="000000" w:themeColor="text1"/>
        </w:rPr>
        <w:fldChar w:fldCharType="separate"/>
      </w:r>
      <w:r w:rsidR="002D58F6">
        <w:rPr>
          <w:noProof/>
          <w:color w:val="000000" w:themeColor="text1"/>
        </w:rPr>
        <w:t>12</w:t>
      </w:r>
      <w:r w:rsidRPr="00AD4CE9">
        <w:rPr>
          <w:color w:val="000000" w:themeColor="text1"/>
        </w:rPr>
        <w:fldChar w:fldCharType="end"/>
      </w:r>
      <w:r w:rsidRPr="00AD4CE9">
        <w:rPr>
          <w:color w:val="000000" w:themeColor="text1"/>
        </w:rPr>
        <w:t>: Region II</w:t>
      </w:r>
      <w:r w:rsidR="00EF398B">
        <w:rPr>
          <w:color w:val="000000" w:themeColor="text1"/>
        </w:rPr>
        <w:t>: Midwest</w:t>
      </w:r>
      <w:r w:rsidR="00035410">
        <w:rPr>
          <w:color w:val="000000" w:themeColor="text1"/>
        </w:rPr>
        <w:t>ern</w:t>
      </w:r>
      <w:r w:rsidRPr="00AD4CE9">
        <w:rPr>
          <w:color w:val="000000" w:themeColor="text1"/>
        </w:rPr>
        <w:t xml:space="preserve"> Felon Disenfranchisement Rates</w:t>
      </w:r>
      <w:r w:rsidR="00EF398B">
        <w:rPr>
          <w:color w:val="000000" w:themeColor="text1"/>
        </w:rPr>
        <w:t>.</w:t>
      </w:r>
      <w:r>
        <w:rPr>
          <w:rStyle w:val="FootnoteReference"/>
          <w:color w:val="000000" w:themeColor="text1"/>
        </w:rPr>
        <w:footnoteReference w:id="38"/>
      </w:r>
      <w:bookmarkEnd w:id="5"/>
    </w:p>
    <w:p w14:paraId="08DEC611" w14:textId="59DDAFAE" w:rsidR="00AD4CE9" w:rsidRDefault="00035410" w:rsidP="00297032">
      <w:pPr>
        <w:spacing w:line="480" w:lineRule="auto"/>
        <w:ind w:firstLine="720"/>
      </w:pPr>
      <w:r>
        <w:t>The Midwest</w:t>
      </w:r>
      <w:r w:rsidR="00AD4CE9">
        <w:t xml:space="preserve"> is split between states that have strict disenfranchisement policies for felons and states that have more liberal policies. Specifically, as shown in Table 1, Illinois, Indiana, Michigan, North Dakota, and Ohio each have policies that allow felons to vote upon release from prison. Interestingly, each of these states has a relatively low disparity between the black disenfranchisement rate and the total disenfranchisement rate. On the other hand, Kansas, Minnesota, Missouri, Nebraska, South Dakota, and Wisconsin each have more strict policies and higher disparities between the rates. Iowa, which permanently disenfranchises felons, has the largest disparity. Thus, like </w:t>
      </w:r>
      <w:r>
        <w:t>the Northeast</w:t>
      </w:r>
      <w:r w:rsidR="00AD4CE9">
        <w:t xml:space="preserve">, </w:t>
      </w:r>
      <w:r w:rsidR="00C54675">
        <w:t xml:space="preserve">in </w:t>
      </w:r>
      <w:r>
        <w:t>the Midwest</w:t>
      </w:r>
      <w:r w:rsidR="00C54675">
        <w:t xml:space="preserve">, there is </w:t>
      </w:r>
      <w:r w:rsidR="00AD4CE9">
        <w:t xml:space="preserve">a </w:t>
      </w:r>
      <w:r w:rsidR="00A526C1">
        <w:t xml:space="preserve">positive </w:t>
      </w:r>
      <w:r w:rsidR="00AD4CE9">
        <w:t xml:space="preserve">relationship </w:t>
      </w:r>
      <w:r w:rsidR="00AD4CE9">
        <w:lastRenderedPageBreak/>
        <w:t xml:space="preserve">between the disparities of the disenfranchisement rates and the strictness of that state’s felon disenfranchisement policy. </w:t>
      </w:r>
    </w:p>
    <w:p w14:paraId="463A55B9" w14:textId="77777777" w:rsidR="00AD4CE9" w:rsidRDefault="00AD4CE9" w:rsidP="00035410">
      <w:pPr>
        <w:keepNext/>
      </w:pPr>
      <w:r>
        <w:rPr>
          <w:noProof/>
        </w:rPr>
        <w:drawing>
          <wp:inline distT="0" distB="0" distL="0" distR="0" wp14:anchorId="2B65EA7B" wp14:editId="6980DC5F">
            <wp:extent cx="5939624" cy="4977516"/>
            <wp:effectExtent l="0" t="0" r="4445" b="1270"/>
            <wp:docPr id="10" name="Chart 10">
              <a:extLst xmlns:a="http://schemas.openxmlformats.org/drawingml/2006/main">
                <a:ext uri="{FF2B5EF4-FFF2-40B4-BE49-F238E27FC236}">
                  <a16:creationId xmlns:a16="http://schemas.microsoft.com/office/drawing/2014/main" id="{F7657A28-5DA2-FD49-BA25-AAF8FCA1E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2B1111" w14:textId="19D2B6DF" w:rsidR="00AD4CE9" w:rsidRPr="00AD4CE9" w:rsidRDefault="00AD4CE9" w:rsidP="00035410">
      <w:pPr>
        <w:pStyle w:val="Caption"/>
        <w:rPr>
          <w:color w:val="000000" w:themeColor="text1"/>
        </w:rPr>
      </w:pPr>
      <w:bookmarkStart w:id="6" w:name="_Toc536798344"/>
      <w:r w:rsidRPr="00AD4CE9">
        <w:rPr>
          <w:color w:val="000000" w:themeColor="text1"/>
        </w:rPr>
        <w:t xml:space="preserve">Figure </w:t>
      </w:r>
      <w:r w:rsidRPr="00AD4CE9">
        <w:rPr>
          <w:color w:val="000000" w:themeColor="text1"/>
        </w:rPr>
        <w:fldChar w:fldCharType="begin"/>
      </w:r>
      <w:r w:rsidRPr="00AD4CE9">
        <w:rPr>
          <w:color w:val="000000" w:themeColor="text1"/>
        </w:rPr>
        <w:instrText xml:space="preserve"> SEQ Figure \* ARABIC </w:instrText>
      </w:r>
      <w:r w:rsidRPr="00AD4CE9">
        <w:rPr>
          <w:color w:val="000000" w:themeColor="text1"/>
        </w:rPr>
        <w:fldChar w:fldCharType="separate"/>
      </w:r>
      <w:r w:rsidR="002D58F6">
        <w:rPr>
          <w:noProof/>
          <w:color w:val="000000" w:themeColor="text1"/>
        </w:rPr>
        <w:t>13</w:t>
      </w:r>
      <w:r w:rsidRPr="00AD4CE9">
        <w:rPr>
          <w:color w:val="000000" w:themeColor="text1"/>
        </w:rPr>
        <w:fldChar w:fldCharType="end"/>
      </w:r>
      <w:r w:rsidRPr="00AD4CE9">
        <w:rPr>
          <w:color w:val="000000" w:themeColor="text1"/>
        </w:rPr>
        <w:t>: Region III</w:t>
      </w:r>
      <w:r w:rsidR="006638BC">
        <w:rPr>
          <w:color w:val="000000" w:themeColor="text1"/>
        </w:rPr>
        <w:t>: South</w:t>
      </w:r>
      <w:r w:rsidR="00035410">
        <w:rPr>
          <w:color w:val="000000" w:themeColor="text1"/>
        </w:rPr>
        <w:t>ern</w:t>
      </w:r>
      <w:r w:rsidRPr="00AD4CE9">
        <w:rPr>
          <w:color w:val="000000" w:themeColor="text1"/>
        </w:rPr>
        <w:t xml:space="preserve"> Felon Disenfranchisement Rates</w:t>
      </w:r>
      <w:r>
        <w:rPr>
          <w:rStyle w:val="FootnoteReference"/>
          <w:color w:val="000000" w:themeColor="text1"/>
        </w:rPr>
        <w:footnoteReference w:id="39"/>
      </w:r>
      <w:bookmarkEnd w:id="6"/>
    </w:p>
    <w:p w14:paraId="54C7E668" w14:textId="67AF71B7" w:rsidR="00AD4CE9" w:rsidRDefault="00AD4CE9" w:rsidP="00297032">
      <w:pPr>
        <w:spacing w:line="480" w:lineRule="auto"/>
        <w:ind w:firstLine="720"/>
      </w:pPr>
      <w:r>
        <w:t xml:space="preserve">As seen in Figure </w:t>
      </w:r>
      <w:r w:rsidR="00035410">
        <w:t>13</w:t>
      </w:r>
      <w:r>
        <w:t xml:space="preserve">, the state with the lowest disparity is Maryland. Following the trend set by </w:t>
      </w:r>
      <w:r w:rsidR="00035410">
        <w:t xml:space="preserve">the Northeast </w:t>
      </w:r>
      <w:r>
        <w:t xml:space="preserve">and </w:t>
      </w:r>
      <w:r w:rsidR="00035410">
        <w:t>the Midwest</w:t>
      </w:r>
      <w:r>
        <w:t xml:space="preserve">, Maryland is a state that allows felons to vote upon release from prison. Accordingly, the states with the highest disparities (Alabama, Florida, Kentucky, Mississippi, and Tennessee) have permanent disenfranchisement. The rest of the states seem to follow the pattern as well; these states have moderate disparities and moderate </w:t>
      </w:r>
      <w:r>
        <w:lastRenderedPageBreak/>
        <w:t xml:space="preserve">disenfranchisement laws. Unsurprisingly, </w:t>
      </w:r>
      <w:r w:rsidR="00035410">
        <w:t>the South</w:t>
      </w:r>
      <w:r>
        <w:t xml:space="preserve"> has the strictest disenfranchisement laws overall, so the disparities between the disenfranchisement rates is greater.</w:t>
      </w:r>
    </w:p>
    <w:p w14:paraId="26B15483" w14:textId="77777777" w:rsidR="00AD4CE9" w:rsidRDefault="00AD4CE9" w:rsidP="00035410">
      <w:pPr>
        <w:keepNext/>
      </w:pPr>
      <w:r>
        <w:rPr>
          <w:noProof/>
        </w:rPr>
        <w:drawing>
          <wp:inline distT="0" distB="0" distL="0" distR="0" wp14:anchorId="7F889328" wp14:editId="0F9305A7">
            <wp:extent cx="5955030" cy="4945380"/>
            <wp:effectExtent l="0" t="0" r="1270" b="0"/>
            <wp:docPr id="11" name="Chart 11">
              <a:extLst xmlns:a="http://schemas.openxmlformats.org/drawingml/2006/main">
                <a:ext uri="{FF2B5EF4-FFF2-40B4-BE49-F238E27FC236}">
                  <a16:creationId xmlns:a16="http://schemas.microsoft.com/office/drawing/2014/main" id="{6601FBEA-29BA-C14F-8A00-0067735D34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CC93BB" w14:textId="28A29AD2" w:rsidR="00AD4CE9" w:rsidRPr="00AD4CE9" w:rsidRDefault="00AD4CE9" w:rsidP="00035410">
      <w:pPr>
        <w:pStyle w:val="Caption"/>
        <w:rPr>
          <w:color w:val="000000" w:themeColor="text1"/>
        </w:rPr>
      </w:pPr>
      <w:bookmarkStart w:id="7" w:name="_Toc536798345"/>
      <w:r w:rsidRPr="00AD4CE9">
        <w:rPr>
          <w:color w:val="000000" w:themeColor="text1"/>
        </w:rPr>
        <w:t xml:space="preserve">Figure </w:t>
      </w:r>
      <w:r w:rsidRPr="00AD4CE9">
        <w:rPr>
          <w:color w:val="000000" w:themeColor="text1"/>
        </w:rPr>
        <w:fldChar w:fldCharType="begin"/>
      </w:r>
      <w:r w:rsidRPr="00AD4CE9">
        <w:rPr>
          <w:color w:val="000000" w:themeColor="text1"/>
        </w:rPr>
        <w:instrText xml:space="preserve"> SEQ Figure \* ARABIC </w:instrText>
      </w:r>
      <w:r w:rsidRPr="00AD4CE9">
        <w:rPr>
          <w:color w:val="000000" w:themeColor="text1"/>
        </w:rPr>
        <w:fldChar w:fldCharType="separate"/>
      </w:r>
      <w:r w:rsidR="002D58F6">
        <w:rPr>
          <w:noProof/>
          <w:color w:val="000000" w:themeColor="text1"/>
        </w:rPr>
        <w:t>14</w:t>
      </w:r>
      <w:r w:rsidRPr="00AD4CE9">
        <w:rPr>
          <w:color w:val="000000" w:themeColor="text1"/>
        </w:rPr>
        <w:fldChar w:fldCharType="end"/>
      </w:r>
      <w:r w:rsidRPr="00AD4CE9">
        <w:rPr>
          <w:color w:val="000000" w:themeColor="text1"/>
        </w:rPr>
        <w:t>: Region IV</w:t>
      </w:r>
      <w:r w:rsidR="00E70C3C">
        <w:rPr>
          <w:color w:val="000000" w:themeColor="text1"/>
        </w:rPr>
        <w:t>: West</w:t>
      </w:r>
      <w:r w:rsidR="00035410">
        <w:rPr>
          <w:color w:val="000000" w:themeColor="text1"/>
        </w:rPr>
        <w:t>ern</w:t>
      </w:r>
      <w:r w:rsidR="00E70C3C">
        <w:rPr>
          <w:color w:val="000000" w:themeColor="text1"/>
        </w:rPr>
        <w:t xml:space="preserve"> </w:t>
      </w:r>
      <w:r w:rsidRPr="00AD4CE9">
        <w:rPr>
          <w:color w:val="000000" w:themeColor="text1"/>
        </w:rPr>
        <w:t>Felon Disenfranchisement Rates</w:t>
      </w:r>
      <w:r w:rsidR="009110F0">
        <w:rPr>
          <w:rStyle w:val="FootnoteReference"/>
          <w:color w:val="000000" w:themeColor="text1"/>
        </w:rPr>
        <w:footnoteReference w:id="40"/>
      </w:r>
      <w:bookmarkEnd w:id="7"/>
    </w:p>
    <w:p w14:paraId="6451B3D7" w14:textId="63762B25" w:rsidR="00AD4CE9" w:rsidRDefault="009110F0" w:rsidP="00297032">
      <w:pPr>
        <w:spacing w:line="480" w:lineRule="auto"/>
        <w:ind w:firstLine="720"/>
      </w:pPr>
      <w:r>
        <w:t xml:space="preserve">Figure </w:t>
      </w:r>
      <w:r w:rsidR="00035410">
        <w:t>14</w:t>
      </w:r>
      <w:r>
        <w:t xml:space="preserve"> shows the disparities between the total disenfranchisement rates and the black disenfranchisement rates of states in </w:t>
      </w:r>
      <w:r w:rsidR="00035410">
        <w:t>the West</w:t>
      </w:r>
      <w:r>
        <w:t xml:space="preserve">. Of these states, Arizona, Wyoming, and Nevada have the highest disparities and each permanently disenfranchise felons. The rest of the states follow the trend set by </w:t>
      </w:r>
      <w:r w:rsidR="00035410">
        <w:t>the Northeast</w:t>
      </w:r>
      <w:r>
        <w:t xml:space="preserve">, </w:t>
      </w:r>
      <w:r w:rsidR="00035410">
        <w:t>the Midwest</w:t>
      </w:r>
      <w:r>
        <w:t xml:space="preserve">, and </w:t>
      </w:r>
      <w:r w:rsidR="00035410">
        <w:t>the South</w:t>
      </w:r>
      <w:r>
        <w:t xml:space="preserve">. </w:t>
      </w:r>
      <w:r w:rsidR="00035410">
        <w:t>The West</w:t>
      </w:r>
      <w:r>
        <w:t xml:space="preserve"> is perhaps the most </w:t>
      </w:r>
      <w:r>
        <w:lastRenderedPageBreak/>
        <w:t xml:space="preserve">diverse of the regions in terms of felon disenfranchisement laws, having states on each end of the spectrum. </w:t>
      </w:r>
    </w:p>
    <w:p w14:paraId="6545002D" w14:textId="3674116A" w:rsidR="007F1223" w:rsidRDefault="007F1223" w:rsidP="00297032">
      <w:pPr>
        <w:spacing w:line="480" w:lineRule="auto"/>
        <w:ind w:firstLine="720"/>
      </w:pPr>
      <w:r>
        <w:t>Alarmingly, every single state has a higher disenfranchisement rate for black felons than the state average. In addition, it</w:t>
      </w:r>
      <w:r w:rsidR="00B4436B">
        <w:t xml:space="preserve"> i</w:t>
      </w:r>
      <w:r>
        <w:t>s important to note that the permanent disenfranchisement states that had lower amounts of black people in prison than white people (Nevada, Kentucky, Iowa, and Arizona) each have very high rates of disenfranchisement for black felons. In fact, Kentucky has the highest rate in the United States.</w:t>
      </w:r>
      <w:r w:rsidR="00F42558">
        <w:t xml:space="preserve"> The disenfranchisement rates in these states indicate a connection between felon disenfranchisement and voter suppression of racial minorities.</w:t>
      </w:r>
    </w:p>
    <w:p w14:paraId="3C41FB5F" w14:textId="46D4AB8E" w:rsidR="006E3B75" w:rsidRDefault="006E3B75" w:rsidP="00297032">
      <w:pPr>
        <w:spacing w:line="480" w:lineRule="auto"/>
        <w:ind w:firstLine="720"/>
      </w:pPr>
      <w:r>
        <w:t xml:space="preserve">As previously discussed, self-determination theorists </w:t>
      </w:r>
      <w:r w:rsidR="00EF7069">
        <w:t>argue</w:t>
      </w:r>
      <w:r>
        <w:t xml:space="preserve"> that the general public has the right to selectively disenfranchise </w:t>
      </w:r>
      <w:r w:rsidR="00413608">
        <w:t>anyone it wishes.</w:t>
      </w:r>
      <w:r w:rsidR="00C12905">
        <w:t xml:space="preserve"> However, given the aforementioned data regarding racial manipulation to influence partisan outcomes, this theory falls flat. First, not all people are able to participate in the selection of representatives who make disenfranchisement decisions. </w:t>
      </w:r>
      <w:r w:rsidR="009110F0">
        <w:t xml:space="preserve">This means that felon disenfranchisement decisions are being made without the full will of the people, thus violating the spirit of the self-determination theory. </w:t>
      </w:r>
    </w:p>
    <w:p w14:paraId="57B97580" w14:textId="6F04581D" w:rsidR="00B61CBB" w:rsidRDefault="00C12905" w:rsidP="00875C07">
      <w:pPr>
        <w:spacing w:line="480" w:lineRule="auto"/>
      </w:pPr>
      <w:r>
        <w:tab/>
        <w:t>The social contract theory also fails to explain or justify these trends. This theory argues that those who break the American social contract, the Constitution, can be disenfranchised because they are no longer afforded the same rights and guarantees. It follows, however, that if this were the case, felon disenfranchisement would have to be a zero-sum game. If violating the social contract was grounds for felon disenfranchisement, all felons should be disenfranchised. This theory ignores the reality of partisan manipulation regarding the practice and fails to account for the states that allow felons to vote</w:t>
      </w:r>
      <w:r w:rsidR="00620B90">
        <w:t xml:space="preserve"> </w:t>
      </w:r>
      <w:r w:rsidR="004D4AB8">
        <w:t>during or after their prison sentence</w:t>
      </w:r>
      <w:r>
        <w:t>.</w:t>
      </w:r>
    </w:p>
    <w:p w14:paraId="10F37C97" w14:textId="186FC978" w:rsidR="00B238CD" w:rsidRDefault="00C12905" w:rsidP="00875C07">
      <w:pPr>
        <w:spacing w:line="480" w:lineRule="auto"/>
      </w:pPr>
      <w:r>
        <w:tab/>
        <w:t xml:space="preserve">Both of the previously mentioned theories that favor felon disenfranchisement are insufficient in </w:t>
      </w:r>
      <w:r w:rsidR="004D4AB8">
        <w:t xml:space="preserve">addressing the </w:t>
      </w:r>
      <w:proofErr w:type="spellStart"/>
      <w:r>
        <w:t>the</w:t>
      </w:r>
      <w:proofErr w:type="spellEnd"/>
      <w:r>
        <w:t xml:space="preserve"> racial disparities </w:t>
      </w:r>
      <w:r w:rsidR="00234991">
        <w:t xml:space="preserve">in the </w:t>
      </w:r>
      <w:r>
        <w:t xml:space="preserve">use of the practice. As seen by this data, </w:t>
      </w:r>
      <w:r w:rsidR="00234991">
        <w:lastRenderedPageBreak/>
        <w:t>white people</w:t>
      </w:r>
      <w:r>
        <w:t xml:space="preserve"> tend to benefit politically from strategically implementing or abolishing felon disenfranchisement policies. This practice, however, is a serious threat to democratic legitimacy. As a result, it must be abolished on the grounds that racial manipulation of voter rolls is inherently anti-democratic</w:t>
      </w:r>
      <w:r w:rsidR="00234991">
        <w:t xml:space="preserve"> and promotes white supremacy</w:t>
      </w:r>
      <w:r>
        <w:t>.</w:t>
      </w:r>
    </w:p>
    <w:p w14:paraId="1390CE39" w14:textId="42AA684C" w:rsidR="0066467D" w:rsidRDefault="0066467D" w:rsidP="00875C07">
      <w:pPr>
        <w:spacing w:line="480" w:lineRule="auto"/>
      </w:pPr>
      <w:r>
        <w:tab/>
        <w:t xml:space="preserve">To further illustrate the claims made throughout the statistics provided above, I will be conducting a case study on the State of Alabama. The goal of this study is to further explain the dynamics of racial domination of felon disenfranchisement laws. In addition, this study will attempt to again show the connection between felon disenfranchisement and white supremacy. </w:t>
      </w:r>
    </w:p>
    <w:p w14:paraId="7A41439C" w14:textId="25E355DF" w:rsidR="002C18B0" w:rsidRDefault="00F672B7" w:rsidP="00875C07">
      <w:pPr>
        <w:spacing w:line="480" w:lineRule="auto"/>
      </w:pPr>
      <w:r>
        <w:rPr>
          <w:b/>
        </w:rPr>
        <w:t>Structural Racism &amp; The State of Alabama</w:t>
      </w:r>
    </w:p>
    <w:p w14:paraId="20C1658F" w14:textId="047A1719" w:rsidR="009A13D0" w:rsidRDefault="002C18B0" w:rsidP="002C18B0">
      <w:pPr>
        <w:spacing w:line="480" w:lineRule="auto"/>
        <w:ind w:firstLine="720"/>
      </w:pPr>
      <w:r>
        <w:t>T</w:t>
      </w:r>
      <w:r w:rsidR="009A13D0">
        <w:t xml:space="preserve">he State of Alabama sent delegates to </w:t>
      </w:r>
      <w:r>
        <w:t>Montgomery for the Alabama Constitutional Convention of 190</w:t>
      </w:r>
      <w:r w:rsidR="003142BE">
        <w:t>1</w:t>
      </w:r>
      <w:r>
        <w:t>. As John B. Knox, the president of the convention, said in his opening remarks, “</w:t>
      </w:r>
      <w:r w:rsidRPr="002C18B0">
        <w:t>And what is it that we want to do? Why</w:t>
      </w:r>
      <w:r>
        <w:t>,</w:t>
      </w:r>
      <w:r w:rsidRPr="002C18B0">
        <w:t xml:space="preserve"> it is within the limits imposed by the Federal Constitution, to establish white supremacy in this State.</w:t>
      </w:r>
      <w:r>
        <w:t>”</w:t>
      </w:r>
      <w:r>
        <w:rPr>
          <w:rStyle w:val="FootnoteReference"/>
        </w:rPr>
        <w:footnoteReference w:id="41"/>
      </w:r>
      <w:r>
        <w:t xml:space="preserve"> The goal of this meeting was clear: to deny black Americans of their rights by strategically manipulating laws and creating policies that were inherently racist rather than overtly racist. </w:t>
      </w:r>
      <w:r w:rsidR="003142BE">
        <w:t>“</w:t>
      </w:r>
      <w:r w:rsidR="003142BE" w:rsidRPr="003142BE">
        <w:t>But if we would have white supremacy, we must establish it by law--not by force or fraud</w:t>
      </w:r>
      <w:r w:rsidR="003142BE">
        <w:t>,” Knox added.</w:t>
      </w:r>
      <w:r w:rsidR="003142BE">
        <w:rPr>
          <w:rStyle w:val="FootnoteReference"/>
        </w:rPr>
        <w:footnoteReference w:id="42"/>
      </w:r>
    </w:p>
    <w:p w14:paraId="5AD4C04B" w14:textId="31DBCC93" w:rsidR="00C148A7" w:rsidRDefault="00C148A7" w:rsidP="00C148A7">
      <w:pPr>
        <w:spacing w:line="480" w:lineRule="auto"/>
        <w:ind w:firstLine="720"/>
      </w:pPr>
      <w:r>
        <w:t xml:space="preserve">It is important to note that felon disenfranchisement is just one of many policies that promote white supremacy in Alabama. While this paper focuses on the effects of felon disenfranchisement specifically, other policies in this state help to further white supremacist goals, and this case study would be incomplete without a discussion of those as well. These laws </w:t>
      </w:r>
      <w:r>
        <w:lastRenderedPageBreak/>
        <w:t>collectively became known as “Jim Crow” laws, which created the basis for structural racism, which is explained further in this section.</w:t>
      </w:r>
    </w:p>
    <w:p w14:paraId="43C1D8F0" w14:textId="7BAD7F5B" w:rsidR="00CF6080" w:rsidRDefault="00931436" w:rsidP="008A57A4">
      <w:pPr>
        <w:spacing w:line="480" w:lineRule="auto"/>
        <w:ind w:firstLine="720"/>
      </w:pPr>
      <w:r w:rsidRPr="00931436">
        <w:t xml:space="preserve">The </w:t>
      </w:r>
      <w:r>
        <w:t xml:space="preserve">Constitutional Convention worked this into the Alabama Constitution of 1901 by drafting </w:t>
      </w:r>
      <w:r w:rsidRPr="00931436">
        <w:t>§ 182</w:t>
      </w:r>
      <w:r>
        <w:t xml:space="preserve">, which disenfranchised those </w:t>
      </w:r>
      <w:r w:rsidRPr="00931436">
        <w:rPr>
          <w:shd w:val="clear" w:color="auto" w:fill="auto"/>
        </w:rPr>
        <w:t>convicted of</w:t>
      </w:r>
      <w:r>
        <w:rPr>
          <w:shd w:val="clear" w:color="auto" w:fill="auto"/>
        </w:rPr>
        <w:t xml:space="preserve"> “any crime… involving moral turpitude.”</w:t>
      </w:r>
      <w:r w:rsidR="007C2B36">
        <w:rPr>
          <w:rStyle w:val="FootnoteReference"/>
          <w:shd w:val="clear" w:color="auto" w:fill="auto"/>
        </w:rPr>
        <w:footnoteReference w:id="43"/>
      </w:r>
      <w:r w:rsidR="007C2B36">
        <w:rPr>
          <w:shd w:val="clear" w:color="auto" w:fill="auto"/>
        </w:rPr>
        <w:t xml:space="preserve"> </w:t>
      </w:r>
      <w:r w:rsidR="00CF6080">
        <w:rPr>
          <w:shd w:val="clear" w:color="auto" w:fill="auto"/>
        </w:rPr>
        <w:t>Although this is facially a neutral amendment, the</w:t>
      </w:r>
      <w:r w:rsidR="00D16BE7">
        <w:rPr>
          <w:shd w:val="clear" w:color="auto" w:fill="auto"/>
        </w:rPr>
        <w:t xml:space="preserve"> </w:t>
      </w:r>
      <w:r w:rsidR="00B3189B">
        <w:rPr>
          <w:shd w:val="clear" w:color="auto" w:fill="auto"/>
        </w:rPr>
        <w:t>intent was to give a legal basis for the disenfranchisement of black Americans across the state</w:t>
      </w:r>
      <w:r w:rsidR="008A57A4">
        <w:rPr>
          <w:shd w:val="clear" w:color="auto" w:fill="auto"/>
        </w:rPr>
        <w:t xml:space="preserve"> due to the ambiguous nature of the phrase.</w:t>
      </w:r>
      <w:r w:rsidR="00D16BE7">
        <w:rPr>
          <w:shd w:val="clear" w:color="auto" w:fill="auto"/>
        </w:rPr>
        <w:t xml:space="preserve"> </w:t>
      </w:r>
    </w:p>
    <w:p w14:paraId="2177FA04" w14:textId="576B32B2" w:rsidR="000F481C" w:rsidRDefault="000F481C" w:rsidP="00931436">
      <w:pPr>
        <w:spacing w:line="480" w:lineRule="auto"/>
        <w:ind w:firstLine="720"/>
      </w:pPr>
      <w:r>
        <w:t xml:space="preserve">The racial issues of felon disenfranchisement in the Alabama Constitution of 1901 were examined by the Supreme Court in </w:t>
      </w:r>
      <w:r w:rsidRPr="000F481C">
        <w:rPr>
          <w:i/>
        </w:rPr>
        <w:t>Hunter v Underwood</w:t>
      </w:r>
      <w:r>
        <w:t xml:space="preserve">. At issue in this case was whether the criminal disenfranchisement section of the </w:t>
      </w:r>
      <w:r w:rsidR="00931436">
        <w:t xml:space="preserve">Alabama Constitution, </w:t>
      </w:r>
      <w:r w:rsidR="00931436" w:rsidRPr="00931436">
        <w:t>§ 182</w:t>
      </w:r>
      <w:r w:rsidR="00931436">
        <w:t xml:space="preserve">, was in conflict with the Equal Protection Clause of </w:t>
      </w:r>
      <w:r w:rsidR="007C2B36">
        <w:t xml:space="preserve">the </w:t>
      </w:r>
      <w:r w:rsidR="00931436">
        <w:t xml:space="preserve">14th Amendment of the United States Constitution. The Court struck down the language of </w:t>
      </w:r>
      <w:r w:rsidR="00931436" w:rsidRPr="00931436">
        <w:t>§ 182</w:t>
      </w:r>
      <w:r w:rsidR="00931436">
        <w:t>, stating that it was linguistically neutral but had both discriminatory outcomes and discriminatory purposes due to Knox’s intention to instill white supremacy.</w:t>
      </w:r>
      <w:r w:rsidR="00931436">
        <w:rPr>
          <w:rStyle w:val="FootnoteReference"/>
        </w:rPr>
        <w:footnoteReference w:id="44"/>
      </w:r>
      <w:r w:rsidR="00931436">
        <w:t xml:space="preserve"> Thus, precedent was set that felon disenfranchisement cannot be used for discriminatory purposes.</w:t>
      </w:r>
    </w:p>
    <w:p w14:paraId="1BB93206" w14:textId="20CBCC4F" w:rsidR="00296EE6" w:rsidRDefault="0007527B" w:rsidP="00296EE6">
      <w:pPr>
        <w:spacing w:line="480" w:lineRule="auto"/>
        <w:ind w:firstLine="720"/>
      </w:pPr>
      <w:r>
        <w:t xml:space="preserve">In the opinion, the Supreme Court noted that </w:t>
      </w:r>
      <w:r w:rsidRPr="00931436">
        <w:t>§ 182</w:t>
      </w:r>
      <w:r>
        <w:t xml:space="preserve"> covered smaller misdemeanors of which black people were more likely to be convicted. However, </w:t>
      </w:r>
      <w:r w:rsidRPr="00931436">
        <w:t>§ 182</w:t>
      </w:r>
      <w:r>
        <w:t xml:space="preserve"> flagrantly ignores </w:t>
      </w:r>
      <w:r w:rsidRPr="0007527B">
        <w:t xml:space="preserve"> "second-degree manslaughter, assault on a police officer, mailing pornography, and aiding the escape of a misdemeanant</w:t>
      </w:r>
      <w:r w:rsidR="00C5698B">
        <w:t>,</w:t>
      </w:r>
      <w:r w:rsidRPr="0007527B">
        <w:t>"</w:t>
      </w:r>
      <w:r w:rsidR="00C5698B">
        <w:t xml:space="preserve"> which are much more serious crimes.</w:t>
      </w:r>
      <w:r w:rsidR="00C5698B">
        <w:rPr>
          <w:rStyle w:val="FootnoteReference"/>
        </w:rPr>
        <w:footnoteReference w:id="45"/>
      </w:r>
      <w:r w:rsidR="00C5698B">
        <w:t xml:space="preserve"> This method of disenfranchising those who commit smaller crimes while allowing those who commit serious </w:t>
      </w:r>
      <w:r w:rsidR="00C5698B">
        <w:lastRenderedPageBreak/>
        <w:t>crimes to vote is how the State of Alabama, and many other states across the nation, used felon disenfranchisement as a political tool to suppress minority votes.</w:t>
      </w:r>
    </w:p>
    <w:p w14:paraId="08C4CCA6" w14:textId="58B6B96A" w:rsidR="00426557" w:rsidRPr="005672BE" w:rsidRDefault="00426557" w:rsidP="00296EE6">
      <w:pPr>
        <w:spacing w:line="480" w:lineRule="auto"/>
        <w:ind w:firstLine="720"/>
      </w:pPr>
      <w:r>
        <w:t xml:space="preserve">Another key section of the Alabama Constitution that </w:t>
      </w:r>
      <w:r w:rsidR="00ED31D2">
        <w:t>upheld</w:t>
      </w:r>
      <w:r>
        <w:t xml:space="preserve"> white supremacy can be found in Article VIII, </w:t>
      </w:r>
      <w:r w:rsidRPr="00931436">
        <w:t>§</w:t>
      </w:r>
      <w:r>
        <w:t xml:space="preserve"> 178. In this section, the document gave rise to poll taxes in Alabama, which would require any potential voter to pay poll taxes in order “t</w:t>
      </w:r>
      <w:r w:rsidRPr="00426557">
        <w:t>o entitle a person to vote at any election by the people</w:t>
      </w:r>
      <w:r>
        <w:t>.”</w:t>
      </w:r>
      <w:r>
        <w:rPr>
          <w:rStyle w:val="FootnoteReference"/>
        </w:rPr>
        <w:footnoteReference w:id="46"/>
      </w:r>
      <w:r w:rsidR="00157239">
        <w:t xml:space="preserve"> This affected black potential voters at a significantly higher rate due to legacies of slavery that kept black Americans in poverty. </w:t>
      </w:r>
      <w:r w:rsidR="005672BE">
        <w:t xml:space="preserve">As noted in </w:t>
      </w:r>
      <w:r w:rsidR="005672BE">
        <w:rPr>
          <w:i/>
        </w:rPr>
        <w:t>United States v State of Alabama</w:t>
      </w:r>
      <w:r w:rsidR="005672BE">
        <w:t>, “</w:t>
      </w:r>
      <w:r w:rsidR="005672BE" w:rsidRPr="005672BE">
        <w:t xml:space="preserve">in 1900, 100,000 </w:t>
      </w:r>
      <w:r w:rsidR="005672BE">
        <w:t>n</w:t>
      </w:r>
      <w:r w:rsidR="005672BE" w:rsidRPr="005672BE">
        <w:t>egroes had voted in Alabama</w:t>
      </w:r>
      <w:r w:rsidR="005672BE">
        <w:t xml:space="preserve">… </w:t>
      </w:r>
      <w:r w:rsidR="0066467D">
        <w:t>i</w:t>
      </w:r>
      <w:r w:rsidR="005672BE" w:rsidRPr="005672BE">
        <w:t xml:space="preserve">n 1904 the registration figures show a total of 3,654 </w:t>
      </w:r>
      <w:r w:rsidR="0066467D">
        <w:t>n</w:t>
      </w:r>
      <w:r w:rsidR="005672BE" w:rsidRPr="005672BE">
        <w:t>egroes and 205,278 whites registered</w:t>
      </w:r>
      <w:r w:rsidR="0066467D">
        <w:t>… [and] b</w:t>
      </w:r>
      <w:r w:rsidR="005672BE" w:rsidRPr="005672BE">
        <w:t xml:space="preserve">y 1908 there were only 3,742 </w:t>
      </w:r>
      <w:r w:rsidR="0066467D">
        <w:t>n</w:t>
      </w:r>
      <w:r w:rsidR="005672BE" w:rsidRPr="005672BE">
        <w:t>egroes registered, while white registration had risen to 250,381.</w:t>
      </w:r>
      <w:r w:rsidR="005672BE">
        <w:t>”</w:t>
      </w:r>
      <w:r w:rsidR="0066467D">
        <w:rPr>
          <w:rStyle w:val="FootnoteReference"/>
        </w:rPr>
        <w:footnoteReference w:id="47"/>
      </w:r>
      <w:r w:rsidR="0066467D">
        <w:t xml:space="preserve"> The ability of black voters to participate in elections as a result of the poll taxes was severely diminished.</w:t>
      </w:r>
    </w:p>
    <w:p w14:paraId="2BB8CCBA" w14:textId="1C5DF56A" w:rsidR="00157239" w:rsidRDefault="00157239" w:rsidP="00296EE6">
      <w:pPr>
        <w:spacing w:line="480" w:lineRule="auto"/>
        <w:ind w:firstLine="720"/>
      </w:pPr>
      <w:r>
        <w:t xml:space="preserve">The U.S. District Court for the Middle District of Alabama examined the legality of poll taxes in 1966. In its ruling in </w:t>
      </w:r>
      <w:r>
        <w:rPr>
          <w:i/>
        </w:rPr>
        <w:t>United States v State of Alabama</w:t>
      </w:r>
      <w:r>
        <w:t>, the court noted that “t</w:t>
      </w:r>
      <w:r w:rsidRPr="00157239">
        <w:t>he necessary effect of the poll tax as adopted in 1901 was to disfranchise Negro voters</w:t>
      </w:r>
      <w:r>
        <w:t>,” which made it an “illegal and invalid” attempt to promote white supremacy.</w:t>
      </w:r>
      <w:r>
        <w:rPr>
          <w:rStyle w:val="FootnoteReference"/>
        </w:rPr>
        <w:footnoteReference w:id="48"/>
      </w:r>
      <w:r>
        <w:t xml:space="preserve"> The court thus ruled that the poll tax provision was unconstitutional, but this ruling came sixty-five years after the Alabama Constitution was ratified. During this time, poll taxes prevented an immeasurable number of black voters from participating in elections.</w:t>
      </w:r>
    </w:p>
    <w:p w14:paraId="5B9CB088" w14:textId="1D2AE7FA" w:rsidR="00ED31D2" w:rsidRDefault="00ED31D2" w:rsidP="00296EE6">
      <w:pPr>
        <w:spacing w:line="480" w:lineRule="auto"/>
        <w:ind w:firstLine="720"/>
      </w:pPr>
      <w:r>
        <w:t xml:space="preserve">Literacy tests, which were a hallmark of the Jim Crow era, were written into the 1901 Alabama Constitution. Specifically, in Article VIII, </w:t>
      </w:r>
      <w:r w:rsidRPr="00931436">
        <w:t>§</w:t>
      </w:r>
      <w:r>
        <w:t xml:space="preserve"> 181 required voters to be “those who can </w:t>
      </w:r>
      <w:r>
        <w:lastRenderedPageBreak/>
        <w:t>read and write any article of the Constitution of the United States in the English language.”</w:t>
      </w:r>
      <w:r>
        <w:rPr>
          <w:rStyle w:val="FootnoteReference"/>
        </w:rPr>
        <w:footnoteReference w:id="49"/>
      </w:r>
      <w:r>
        <w:t xml:space="preserve"> A grandfather clause laid out in </w:t>
      </w:r>
      <w:r w:rsidRPr="00931436">
        <w:t>§</w:t>
      </w:r>
      <w:r>
        <w:t xml:space="preserve"> 180 exempted those who had served in the military, descended from a veteran, or “</w:t>
      </w:r>
      <w:r w:rsidRPr="00ED31D2">
        <w:t>who are of good character and who understand the duties and obligations of citizenship under a republican form of government</w:t>
      </w:r>
      <w:r>
        <w:t>.”</w:t>
      </w:r>
      <w:r w:rsidR="00C148A7">
        <w:rPr>
          <w:rStyle w:val="FootnoteReference"/>
        </w:rPr>
        <w:footnoteReference w:id="50"/>
      </w:r>
      <w:r w:rsidR="00C148A7">
        <w:t xml:space="preserve"> This subjective standard allowed white administrators to maintain white enfranchisement while arbitrarily denying the right to vote from black citizens. </w:t>
      </w:r>
    </w:p>
    <w:p w14:paraId="7C56EF71" w14:textId="5843E351" w:rsidR="00E735C7" w:rsidRDefault="00296EE6" w:rsidP="00E735C7">
      <w:pPr>
        <w:spacing w:line="480" w:lineRule="auto"/>
        <w:ind w:firstLine="720"/>
      </w:pPr>
      <w:r>
        <w:t xml:space="preserve">The legacies of Jim Crow laws are maintained in the post-civil rights era through various policies that promote structural racism, which is </w:t>
      </w:r>
      <w:r w:rsidR="00F672B7">
        <w:t xml:space="preserve">an extremely important aspect to felon disenfranchisement. </w:t>
      </w:r>
      <w:r w:rsidR="00654DC6">
        <w:t>It is well-documented that people of color face barriers in healthcare, education, housing, and employment on account of their race. The criminal justice system is not an exception to this pattern. Many people of color are treated differently than their white counterparts on account of their race, ethnicity, or skin tone.</w:t>
      </w:r>
      <w:r w:rsidR="00E735C7">
        <w:t xml:space="preserve"> It is for this reason that some scholars, such as Michelle Alexander, call the criminal justice system the “New Jim Crow,” implying that it intentionally and systematically aims to keep black Americans below white Americans.</w:t>
      </w:r>
      <w:r w:rsidR="00E735C7">
        <w:rPr>
          <w:rStyle w:val="FootnoteReference"/>
        </w:rPr>
        <w:footnoteReference w:id="51"/>
      </w:r>
      <w:r w:rsidR="00654DC6">
        <w:t xml:space="preserve"> Policing in America is where this is most evident. </w:t>
      </w:r>
    </w:p>
    <w:p w14:paraId="2F86970F" w14:textId="2E4310DA" w:rsidR="00654DC6" w:rsidRDefault="00654DC6" w:rsidP="00931436">
      <w:pPr>
        <w:spacing w:line="480" w:lineRule="auto"/>
        <w:ind w:firstLine="720"/>
      </w:pPr>
      <w:r>
        <w:t xml:space="preserve">For example, black Americans are more likely to have negative encounters with police officers, regardless of the crime they are being accused of. </w:t>
      </w:r>
      <w:r w:rsidR="00E735C7">
        <w:t>In a study by the Washington Post of Americans’ interactions with police, it was found that 986 Americans were killed during police encounters; an alarming 40 percent of those killed were black males.</w:t>
      </w:r>
      <w:r w:rsidR="00E735C7">
        <w:rPr>
          <w:rStyle w:val="FootnoteReference"/>
        </w:rPr>
        <w:footnoteReference w:id="52"/>
      </w:r>
      <w:r w:rsidR="00E735C7">
        <w:t xml:space="preserve"> </w:t>
      </w:r>
      <w:r w:rsidR="00AA4C73">
        <w:t xml:space="preserve">This implies that police </w:t>
      </w:r>
      <w:r w:rsidR="00AA4C73">
        <w:lastRenderedPageBreak/>
        <w:t>are more likely to get violent with black civilians, especially when those black civilians are males.</w:t>
      </w:r>
    </w:p>
    <w:p w14:paraId="056066B4" w14:textId="3C6B3012" w:rsidR="00072636" w:rsidRDefault="00AA4C73" w:rsidP="005D003D">
      <w:pPr>
        <w:spacing w:line="480" w:lineRule="auto"/>
        <w:ind w:firstLine="720"/>
      </w:pPr>
      <w:r>
        <w:t>Another example can be found in the fact that there is little to no data kept on the races of those affected by police brutality. All current data comes from research on newspaper headlines. One such study found that nearly 87% of reported cases of police brutality were against black people, and that those victims were just as likely to be brutalized if they disrespect the officer as if they commit a serious crime.</w:t>
      </w:r>
      <w:r>
        <w:rPr>
          <w:rStyle w:val="FootnoteReference"/>
        </w:rPr>
        <w:footnoteReference w:id="53"/>
      </w:r>
      <w:r w:rsidR="00072636">
        <w:t xml:space="preserve"> The very lack of data in this field is likely intentional, as keeping it would show such a large bias against black Americans. </w:t>
      </w:r>
    </w:p>
    <w:p w14:paraId="5A5FC558" w14:textId="27EC44F0" w:rsidR="00072636" w:rsidRDefault="00072636" w:rsidP="00931436">
      <w:pPr>
        <w:spacing w:line="480" w:lineRule="auto"/>
        <w:ind w:firstLine="720"/>
      </w:pPr>
      <w:r>
        <w:t>Perhaps one of the most prevalent examples of structural racism can be found in the so-called “War on Drugs.” The goal of this program, ran by several Presidents including Nixon, Reagan, and Clinton, was to end drug use in the United States. This was a goal that sounded fairly unbiased until the effects of it revealed that it largely targeted poor, urban communities, most of which were communities of color.</w:t>
      </w:r>
      <w:r>
        <w:rPr>
          <w:rStyle w:val="FootnoteReference"/>
        </w:rPr>
        <w:footnoteReference w:id="54"/>
      </w:r>
      <w:r>
        <w:t xml:space="preserve"> Thus, the War on Drugs became a mainstay of structural racism by targeting black communities in a way that appears unbiased and palatable to the average American.</w:t>
      </w:r>
    </w:p>
    <w:p w14:paraId="2B6E9D6D" w14:textId="44995E82" w:rsidR="000F2EA9" w:rsidRDefault="000F2EA9" w:rsidP="00875C07">
      <w:pPr>
        <w:spacing w:line="480" w:lineRule="auto"/>
        <w:rPr>
          <w:b/>
        </w:rPr>
      </w:pPr>
      <w:r>
        <w:rPr>
          <w:b/>
        </w:rPr>
        <w:t>Conclusion</w:t>
      </w:r>
    </w:p>
    <w:p w14:paraId="42BC573B" w14:textId="318365A9" w:rsidR="00803D85" w:rsidRDefault="000F2EA9" w:rsidP="00100803">
      <w:pPr>
        <w:spacing w:line="480" w:lineRule="auto"/>
      </w:pPr>
      <w:r>
        <w:tab/>
      </w:r>
      <w:r w:rsidRPr="00803D85">
        <w:t>None of the currently established theories possess a full grasp of the gravity of the</w:t>
      </w:r>
      <w:r w:rsidR="00803D85" w:rsidRPr="00803D85">
        <w:t xml:space="preserve"> threat that felon disenfranchisement poses to democratic legitimacy. Importantly, none of the three theories take into accoun</w:t>
      </w:r>
      <w:r w:rsidR="009110F0">
        <w:t xml:space="preserve">t the racial disparities of </w:t>
      </w:r>
      <w:r w:rsidR="00803D85" w:rsidRPr="00803D85">
        <w:t xml:space="preserve">the practice. Instead, they are abstract and </w:t>
      </w:r>
      <w:r w:rsidR="00803D85" w:rsidRPr="00803D85">
        <w:lastRenderedPageBreak/>
        <w:t>ignore underlying social dynamics.</w:t>
      </w:r>
      <w:r w:rsidR="009110F0">
        <w:t xml:space="preserve"> This is why I propose the </w:t>
      </w:r>
      <w:r w:rsidR="00072636">
        <w:t>maintenance of power</w:t>
      </w:r>
      <w:r w:rsidR="009110F0">
        <w:t xml:space="preserve"> theory, which examines the racial implications of felon disenfranchisement on a state-by-state basis. </w:t>
      </w:r>
    </w:p>
    <w:p w14:paraId="626574C4" w14:textId="52D948D3" w:rsidR="00803D85" w:rsidRDefault="00803D85" w:rsidP="00875C07">
      <w:pPr>
        <w:spacing w:line="480" w:lineRule="auto"/>
      </w:pPr>
      <w:r>
        <w:tab/>
        <w:t xml:space="preserve">An area for additional research would be the examination of partisan outcomes and how felon disenfranchisement has already affected United States elections. For example, </w:t>
      </w:r>
      <w:r w:rsidR="007C28FD">
        <w:t>has the practice inherently caused issues for one party over the other? In addition, what would happen if the United States abolished felon disenfranchisement nationally? Would this change the election chances of either party? Would expanding the voter pool in such a large way affect policy changes?</w:t>
      </w:r>
    </w:p>
    <w:p w14:paraId="6B265879" w14:textId="7382037F" w:rsidR="007C28FD" w:rsidRDefault="007C28FD" w:rsidP="00875C07">
      <w:pPr>
        <w:spacing w:line="480" w:lineRule="auto"/>
      </w:pPr>
      <w:r>
        <w:tab/>
        <w:t>Perhaps it would be beneficial to compare the United States to other nations to determine how it compares to other Western democracies on this issue. Has an</w:t>
      </w:r>
      <w:r w:rsidR="008E585E">
        <w:t xml:space="preserve">y </w:t>
      </w:r>
      <w:r>
        <w:t>other nation perfected its felon disenfranchisement policies? Should the United States look to other nations for role models? If the United States abolished felon disenfranchisement, would it be the first civilized society to do so?</w:t>
      </w:r>
    </w:p>
    <w:p w14:paraId="345C9087" w14:textId="77777777" w:rsidR="00F672B7" w:rsidRDefault="007C28FD" w:rsidP="00F672B7">
      <w:pPr>
        <w:spacing w:line="480" w:lineRule="auto"/>
      </w:pPr>
      <w:r>
        <w:tab/>
        <w:t>Felon disenfranchisement in its current form is a threat to democratic legitimacy</w:t>
      </w:r>
      <w:r w:rsidR="00931436">
        <w:t xml:space="preserve"> and a violation of the spirit of the ruling of </w:t>
      </w:r>
      <w:r w:rsidR="00931436">
        <w:rPr>
          <w:i/>
        </w:rPr>
        <w:t>Hunter v Underwood</w:t>
      </w:r>
      <w:r>
        <w:t>. The United States has been historically hailed for its democratic principles, but its policies regarding felon disenfranchisement undermine these very ideals. The data on the subject is clear: felon disenfranchisement is being used in a way that was designed to suppress racial minorities and voter populations. Thus, it is clear that</w:t>
      </w:r>
      <w:r w:rsidRPr="00550CB5">
        <w:t xml:space="preserve"> felon disenfranchisement</w:t>
      </w:r>
      <w:r>
        <w:t xml:space="preserve"> is</w:t>
      </w:r>
      <w:r w:rsidRPr="00550CB5">
        <w:t xml:space="preserve"> a form of voter suppression that threatens democratic legitimacy</w:t>
      </w:r>
      <w:r>
        <w:t>.</w:t>
      </w:r>
      <w:r w:rsidR="00B64F8A">
        <w:t xml:space="preserve"> </w:t>
      </w:r>
    </w:p>
    <w:p w14:paraId="426740EE" w14:textId="77777777" w:rsidR="00F672B7" w:rsidRDefault="00F672B7">
      <w:r>
        <w:br w:type="page"/>
      </w:r>
    </w:p>
    <w:p w14:paraId="2F43C452" w14:textId="5E216687" w:rsidR="00550CB5" w:rsidRPr="00550CB5" w:rsidRDefault="00550CB5" w:rsidP="00F672B7">
      <w:pPr>
        <w:spacing w:line="480" w:lineRule="auto"/>
        <w:jc w:val="center"/>
      </w:pPr>
      <w:r w:rsidRPr="00550CB5">
        <w:lastRenderedPageBreak/>
        <w:t>Works Cited</w:t>
      </w:r>
    </w:p>
    <w:p w14:paraId="386F4BA5" w14:textId="79D45ACB" w:rsidR="00E735C7" w:rsidRPr="00E735C7" w:rsidRDefault="00E735C7" w:rsidP="00E735C7">
      <w:pPr>
        <w:pStyle w:val="FootnoteText"/>
        <w:spacing w:line="480" w:lineRule="auto"/>
        <w:ind w:left="720" w:hanging="720"/>
        <w:rPr>
          <w:sz w:val="24"/>
          <w:szCs w:val="24"/>
        </w:rPr>
      </w:pPr>
      <w:r w:rsidRPr="00E735C7">
        <w:rPr>
          <w:sz w:val="24"/>
          <w:szCs w:val="24"/>
        </w:rPr>
        <w:t xml:space="preserve">Alexander, Michelle. </w:t>
      </w:r>
      <w:r w:rsidRPr="00E735C7">
        <w:rPr>
          <w:i/>
          <w:sz w:val="24"/>
          <w:szCs w:val="24"/>
        </w:rPr>
        <w:t>The New Jim Crow: Mass Incarceration in the Age of Colorblindness</w:t>
      </w:r>
      <w:r w:rsidRPr="00E735C7">
        <w:rPr>
          <w:sz w:val="24"/>
          <w:szCs w:val="24"/>
        </w:rPr>
        <w:t>. Jackson: New Press, 2012. Print.</w:t>
      </w:r>
    </w:p>
    <w:p w14:paraId="191AF803" w14:textId="062E473B" w:rsidR="002F7C59" w:rsidRDefault="002F7C59" w:rsidP="00E735C7">
      <w:pPr>
        <w:spacing w:line="480" w:lineRule="auto"/>
        <w:ind w:left="720" w:hanging="720"/>
      </w:pPr>
      <w:r w:rsidRPr="002F7C59">
        <w:t xml:space="preserve">Altman, Andrew. “Democratic Self-Determination and the Disenfranchisement of Felons.” </w:t>
      </w:r>
      <w:r w:rsidRPr="002F7C59">
        <w:rPr>
          <w:i/>
        </w:rPr>
        <w:t>Journal of Applied Philosophy</w:t>
      </w:r>
      <w:r w:rsidRPr="002F7C59">
        <w:t>, vol. 22, no. 3, Nov. 2005, pp. 263–273.</w:t>
      </w:r>
    </w:p>
    <w:p w14:paraId="7A0B4956" w14:textId="1C52372A" w:rsidR="00454161" w:rsidRDefault="00454161" w:rsidP="00550CB5">
      <w:pPr>
        <w:spacing w:line="480" w:lineRule="auto"/>
        <w:ind w:left="720" w:hanging="720"/>
      </w:pPr>
      <w:r>
        <w:t xml:space="preserve">Beck, Allen J. “Correctional Populations in the United States, 1998.” </w:t>
      </w:r>
      <w:r w:rsidRPr="002F7C59">
        <w:rPr>
          <w:i/>
        </w:rPr>
        <w:t>Bureau of Justice Statistics (BJS)</w:t>
      </w:r>
      <w:r>
        <w:rPr>
          <w:i/>
        </w:rPr>
        <w:t xml:space="preserve">, </w:t>
      </w:r>
      <w:r>
        <w:t>U.S. Department of Justice, 1 Sept. 2002.</w:t>
      </w:r>
    </w:p>
    <w:p w14:paraId="652B77ED" w14:textId="203B40C6" w:rsidR="00A84B33" w:rsidRDefault="00550CB5" w:rsidP="00550CB5">
      <w:pPr>
        <w:spacing w:line="480" w:lineRule="auto"/>
        <w:ind w:left="720" w:hanging="720"/>
      </w:pPr>
      <w:r w:rsidRPr="00550CB5">
        <w:t xml:space="preserve">Bennett, Christopher. “Penal Disenfranchisement.” </w:t>
      </w:r>
      <w:r w:rsidRPr="00550CB5">
        <w:rPr>
          <w:i/>
        </w:rPr>
        <w:t xml:space="preserve">Criminal Law &amp; Philosophy, </w:t>
      </w:r>
      <w:r w:rsidRPr="00550CB5">
        <w:t>vol. 10, no. 3, Sept. 2016, pp. 411-425.</w:t>
      </w:r>
    </w:p>
    <w:p w14:paraId="1C30ABC5" w14:textId="123A751E" w:rsidR="00072636" w:rsidRDefault="00072636" w:rsidP="00550CB5">
      <w:pPr>
        <w:spacing w:line="480" w:lineRule="auto"/>
        <w:ind w:left="720" w:hanging="720"/>
      </w:pPr>
      <w:r>
        <w:t>Bobo, Lawrence, and Victor Thompson. “</w:t>
      </w:r>
      <w:r w:rsidRPr="00072636">
        <w:t xml:space="preserve">Unfair </w:t>
      </w:r>
      <w:proofErr w:type="gramStart"/>
      <w:r w:rsidRPr="00072636">
        <w:t>By</w:t>
      </w:r>
      <w:proofErr w:type="gramEnd"/>
      <w:r w:rsidRPr="00072636">
        <w:t xml:space="preserve"> Design: The War </w:t>
      </w:r>
      <w:r>
        <w:t>o</w:t>
      </w:r>
      <w:r w:rsidRPr="00072636">
        <w:t xml:space="preserve">n Drugs, Race, </w:t>
      </w:r>
      <w:r>
        <w:t>a</w:t>
      </w:r>
      <w:r w:rsidRPr="00072636">
        <w:t xml:space="preserve">nd </w:t>
      </w:r>
      <w:r>
        <w:t>t</w:t>
      </w:r>
      <w:r w:rsidRPr="00072636">
        <w:t xml:space="preserve">he Legitimacy </w:t>
      </w:r>
      <w:r>
        <w:t>o</w:t>
      </w:r>
      <w:r w:rsidRPr="00072636">
        <w:t xml:space="preserve">f </w:t>
      </w:r>
      <w:r>
        <w:t>t</w:t>
      </w:r>
      <w:r w:rsidRPr="00072636">
        <w:t>he Criminal Justice System.</w:t>
      </w:r>
      <w:r>
        <w:t xml:space="preserve">” </w:t>
      </w:r>
      <w:r>
        <w:rPr>
          <w:i/>
        </w:rPr>
        <w:t>Social Research</w:t>
      </w:r>
      <w:r>
        <w:t>, 2006.</w:t>
      </w:r>
    </w:p>
    <w:p w14:paraId="1B25D4BA" w14:textId="155E9E78" w:rsidR="00A31852" w:rsidRDefault="00A31852" w:rsidP="00550CB5">
      <w:pPr>
        <w:spacing w:line="480" w:lineRule="auto"/>
        <w:ind w:left="720" w:hanging="720"/>
      </w:pPr>
      <w:r w:rsidRPr="00A31852">
        <w:t xml:space="preserve">Bülow, William. “Felon Disenfranchisement and the Argument from Democratic Self-Determination.” </w:t>
      </w:r>
      <w:r w:rsidRPr="00A31852">
        <w:rPr>
          <w:i/>
        </w:rPr>
        <w:t>Philosophia</w:t>
      </w:r>
      <w:r w:rsidRPr="00A31852">
        <w:t>, vol. 44, no. 3, Sept. 2016, pp. 759–774.</w:t>
      </w:r>
    </w:p>
    <w:p w14:paraId="5F7409E4" w14:textId="2079A675" w:rsidR="00D20C94" w:rsidRDefault="00D20C94" w:rsidP="00D20C94">
      <w:pPr>
        <w:spacing w:line="480" w:lineRule="auto"/>
        <w:ind w:left="720" w:hanging="720"/>
        <w:rPr>
          <w:rFonts w:eastAsia="Times New Roman"/>
        </w:rPr>
      </w:pPr>
      <w:r>
        <w:rPr>
          <w:rFonts w:eastAsia="Times New Roman"/>
        </w:rPr>
        <w:t xml:space="preserve">Burmila, Edward. “Voter Turnout, Felon Disenfranchisement, and Partisan Outcomes in Presidential Elections, 1988-2012.” </w:t>
      </w:r>
      <w:r w:rsidRPr="007675A9">
        <w:rPr>
          <w:rFonts w:eastAsia="Times New Roman"/>
          <w:i/>
        </w:rPr>
        <w:t>Social Justice Research</w:t>
      </w:r>
      <w:r>
        <w:rPr>
          <w:rFonts w:eastAsia="Times New Roman"/>
        </w:rPr>
        <w:t>, vol. 30, no. 1, Mar. 2017, pp. 72-88.</w:t>
      </w:r>
    </w:p>
    <w:p w14:paraId="75F387EB" w14:textId="447351FF" w:rsidR="007D49A3" w:rsidRDefault="007D49A3" w:rsidP="00D20C94">
      <w:pPr>
        <w:spacing w:line="480" w:lineRule="auto"/>
        <w:ind w:left="720" w:hanging="720"/>
      </w:pPr>
      <w:proofErr w:type="spellStart"/>
      <w:r w:rsidRPr="00D34F5F">
        <w:t>Cholbi</w:t>
      </w:r>
      <w:proofErr w:type="spellEnd"/>
      <w:r w:rsidRPr="00D34F5F">
        <w:t xml:space="preserve">, Michael J. “A Felon’s Right to Vote.” </w:t>
      </w:r>
      <w:r w:rsidRPr="00D34F5F">
        <w:rPr>
          <w:i/>
        </w:rPr>
        <w:t>Law &amp; Philosophy</w:t>
      </w:r>
      <w:r w:rsidRPr="00D34F5F">
        <w:t>, vol. 21, no. 4/5, Sept. 2002, pp. 535-565.</w:t>
      </w:r>
    </w:p>
    <w:p w14:paraId="6288B5CD" w14:textId="6D5681BC" w:rsidR="00C148A7" w:rsidRPr="00D20C94" w:rsidRDefault="00C148A7" w:rsidP="00C148A7">
      <w:pPr>
        <w:spacing w:line="480" w:lineRule="auto"/>
        <w:ind w:left="720" w:hanging="720"/>
        <w:rPr>
          <w:rFonts w:eastAsia="Times New Roman"/>
        </w:rPr>
      </w:pPr>
      <w:r>
        <w:t>Constitution of Alabama.</w:t>
      </w:r>
      <w:r w:rsidRPr="007C2B36">
        <w:t xml:space="preserve"> </w:t>
      </w:r>
      <w:r>
        <w:t>A</w:t>
      </w:r>
      <w:r w:rsidRPr="007C2B36">
        <w:t>rt. V</w:t>
      </w:r>
      <w:r>
        <w:t>III</w:t>
      </w:r>
      <w:r w:rsidRPr="007C2B36">
        <w:t xml:space="preserve">, </w:t>
      </w:r>
      <w:r>
        <w:t>Sec</w:t>
      </w:r>
      <w:r w:rsidRPr="007C2B36">
        <w:t xml:space="preserve"> 1</w:t>
      </w:r>
      <w:r>
        <w:t>78. (1901)</w:t>
      </w:r>
    </w:p>
    <w:p w14:paraId="31B35483" w14:textId="0A524A6C" w:rsidR="00C148A7" w:rsidRPr="00D20C94" w:rsidRDefault="00C148A7" w:rsidP="00C148A7">
      <w:pPr>
        <w:spacing w:line="480" w:lineRule="auto"/>
        <w:ind w:left="720" w:hanging="720"/>
        <w:rPr>
          <w:rFonts w:eastAsia="Times New Roman"/>
        </w:rPr>
      </w:pPr>
      <w:r>
        <w:t>Constitution of Alabama.</w:t>
      </w:r>
      <w:r w:rsidRPr="007C2B36">
        <w:t xml:space="preserve"> </w:t>
      </w:r>
      <w:r>
        <w:t>A</w:t>
      </w:r>
      <w:r w:rsidRPr="007C2B36">
        <w:t>rt. V</w:t>
      </w:r>
      <w:r>
        <w:t>III</w:t>
      </w:r>
      <w:r w:rsidRPr="007C2B36">
        <w:t xml:space="preserve">, </w:t>
      </w:r>
      <w:r>
        <w:t>Sec</w:t>
      </w:r>
      <w:r w:rsidRPr="007C2B36">
        <w:t xml:space="preserve"> 1</w:t>
      </w:r>
      <w:r>
        <w:t>80. (1901)</w:t>
      </w:r>
    </w:p>
    <w:p w14:paraId="171D851F" w14:textId="15D539A5" w:rsidR="00C148A7" w:rsidRDefault="00C148A7" w:rsidP="00C148A7">
      <w:pPr>
        <w:spacing w:line="480" w:lineRule="auto"/>
        <w:ind w:left="720" w:hanging="720"/>
        <w:rPr>
          <w:rFonts w:eastAsia="Times New Roman"/>
        </w:rPr>
      </w:pPr>
      <w:r>
        <w:t>Constitution of Alabama.</w:t>
      </w:r>
      <w:r w:rsidRPr="007C2B36">
        <w:t xml:space="preserve"> </w:t>
      </w:r>
      <w:r>
        <w:t>A</w:t>
      </w:r>
      <w:r w:rsidRPr="007C2B36">
        <w:t>rt. V</w:t>
      </w:r>
      <w:r>
        <w:t>III</w:t>
      </w:r>
      <w:r w:rsidRPr="007C2B36">
        <w:t xml:space="preserve">, </w:t>
      </w:r>
      <w:r>
        <w:t>Sec</w:t>
      </w:r>
      <w:r w:rsidRPr="007C2B36">
        <w:t xml:space="preserve"> 1</w:t>
      </w:r>
      <w:r>
        <w:t>81. (1901)</w:t>
      </w:r>
    </w:p>
    <w:p w14:paraId="3DD4643E" w14:textId="18167332" w:rsidR="007C2B36" w:rsidRPr="00D20C94" w:rsidRDefault="007C2B36" w:rsidP="00D20C94">
      <w:pPr>
        <w:spacing w:line="480" w:lineRule="auto"/>
        <w:ind w:left="720" w:hanging="720"/>
        <w:rPr>
          <w:rFonts w:eastAsia="Times New Roman"/>
        </w:rPr>
      </w:pPr>
      <w:r>
        <w:t>Constitution of Alabama.</w:t>
      </w:r>
      <w:r w:rsidRPr="007C2B36">
        <w:t xml:space="preserve"> </w:t>
      </w:r>
      <w:r>
        <w:t>A</w:t>
      </w:r>
      <w:r w:rsidRPr="007C2B36">
        <w:t>rt. V</w:t>
      </w:r>
      <w:r>
        <w:t>III</w:t>
      </w:r>
      <w:r w:rsidRPr="007C2B36">
        <w:t xml:space="preserve">, </w:t>
      </w:r>
      <w:r>
        <w:t>Sec</w:t>
      </w:r>
      <w:r w:rsidRPr="007C2B36">
        <w:t xml:space="preserve"> 1</w:t>
      </w:r>
      <w:r>
        <w:t>82. (1901)</w:t>
      </w:r>
    </w:p>
    <w:p w14:paraId="40847A85" w14:textId="05018938" w:rsidR="005E6BBB" w:rsidRDefault="005E6BBB" w:rsidP="00550CB5">
      <w:pPr>
        <w:spacing w:line="480" w:lineRule="auto"/>
        <w:ind w:left="720" w:hanging="720"/>
      </w:pPr>
      <w:r>
        <w:lastRenderedPageBreak/>
        <w:t xml:space="preserve">“Criminal Disenfranchisement Laws Across the United States.” </w:t>
      </w:r>
      <w:r>
        <w:rPr>
          <w:i/>
        </w:rPr>
        <w:t>Brennan Center for Justice</w:t>
      </w:r>
      <w:r>
        <w:t>, 7 Nov. 2018.</w:t>
      </w:r>
    </w:p>
    <w:p w14:paraId="26F9D46E" w14:textId="2B076D8F" w:rsidR="009248A5" w:rsidRDefault="009248A5" w:rsidP="00550CB5">
      <w:pPr>
        <w:spacing w:line="480" w:lineRule="auto"/>
        <w:ind w:left="720" w:hanging="720"/>
      </w:pPr>
      <w:r w:rsidRPr="009248A5">
        <w:t xml:space="preserve">Dahl, Robert A. “Dilemmas of Pluralist Democracy.” </w:t>
      </w:r>
      <w:r w:rsidRPr="009248A5">
        <w:rPr>
          <w:i/>
        </w:rPr>
        <w:t>Yale University Press</w:t>
      </w:r>
      <w:r w:rsidRPr="009248A5">
        <w:t>, 1982</w:t>
      </w:r>
      <w:r>
        <w:t>,</w:t>
      </w:r>
      <w:r w:rsidRPr="009248A5">
        <w:t xml:space="preserve"> p. 11.</w:t>
      </w:r>
    </w:p>
    <w:p w14:paraId="1E05315F" w14:textId="4843CAA0" w:rsidR="009110F0" w:rsidRDefault="009110F0" w:rsidP="00550CB5">
      <w:pPr>
        <w:spacing w:line="480" w:lineRule="auto"/>
        <w:ind w:left="720" w:hanging="720"/>
      </w:pPr>
      <w:r w:rsidRPr="00D971D8">
        <w:t xml:space="preserve">Frey, William H. and Cheryl L. First. “Investigating Change in American Society: Exploring Social Trends with U.S. Census Data and StudentChip.” </w:t>
      </w:r>
      <w:r w:rsidRPr="00D971D8">
        <w:rPr>
          <w:i/>
        </w:rPr>
        <w:t>Wadsworth Publishing</w:t>
      </w:r>
      <w:r w:rsidRPr="00D971D8">
        <w:t>, 1997.</w:t>
      </w:r>
    </w:p>
    <w:p w14:paraId="50947B86" w14:textId="15C6FD5F" w:rsidR="00D971D8" w:rsidRDefault="00D971D8" w:rsidP="00550CB5">
      <w:pPr>
        <w:spacing w:line="480" w:lineRule="auto"/>
        <w:ind w:left="720" w:hanging="720"/>
      </w:pPr>
      <w:r w:rsidRPr="00D971D8">
        <w:t xml:space="preserve">“Geography Atlas: Regions.” </w:t>
      </w:r>
      <w:r w:rsidRPr="00D971D8">
        <w:rPr>
          <w:i/>
        </w:rPr>
        <w:t>United States Census Bureau</w:t>
      </w:r>
      <w:r w:rsidRPr="00D971D8">
        <w:t>, 28 July 2015.</w:t>
      </w:r>
    </w:p>
    <w:p w14:paraId="0DF2EF9F" w14:textId="0FFF3326" w:rsidR="00A31852" w:rsidRDefault="00A31852" w:rsidP="00550CB5">
      <w:pPr>
        <w:spacing w:line="480" w:lineRule="auto"/>
        <w:ind w:left="720" w:hanging="720"/>
      </w:pPr>
      <w:proofErr w:type="spellStart"/>
      <w:r w:rsidRPr="00A31852">
        <w:t>Karlan</w:t>
      </w:r>
      <w:proofErr w:type="spellEnd"/>
      <w:r w:rsidRPr="00A31852">
        <w:t xml:space="preserve">, Pamela S. “Undue Burdens and Potential Opportunities in Voting Rights and Abortion Law.” </w:t>
      </w:r>
      <w:r w:rsidRPr="002F7C59">
        <w:rPr>
          <w:i/>
        </w:rPr>
        <w:t>Indiana Law Journal</w:t>
      </w:r>
      <w:r w:rsidRPr="00A31852">
        <w:t>, vol. 93, no. 1, Winter 2018, pp. 139–157.</w:t>
      </w:r>
    </w:p>
    <w:p w14:paraId="4C59F26D" w14:textId="31B60D39" w:rsidR="00AA4C73" w:rsidRDefault="00AA4C73" w:rsidP="00550CB5">
      <w:pPr>
        <w:spacing w:line="480" w:lineRule="auto"/>
        <w:ind w:left="720" w:hanging="720"/>
      </w:pPr>
      <w:r w:rsidRPr="00AA4C73">
        <w:t xml:space="preserve">Lersch, Michelle, and </w:t>
      </w:r>
      <w:r>
        <w:t xml:space="preserve">Joe </w:t>
      </w:r>
      <w:r w:rsidRPr="00AA4C73">
        <w:t>Feagin.</w:t>
      </w:r>
      <w:r>
        <w:t xml:space="preserve"> “</w:t>
      </w:r>
      <w:r w:rsidRPr="00AA4C73">
        <w:t xml:space="preserve">Violent Police-Citizen Encounters: An Analysis </w:t>
      </w:r>
      <w:proofErr w:type="gramStart"/>
      <w:r w:rsidRPr="00AA4C73">
        <w:t>Of</w:t>
      </w:r>
      <w:proofErr w:type="gramEnd"/>
      <w:r w:rsidRPr="00AA4C73">
        <w:t xml:space="preserve"> Major Newspaper Accounts.</w:t>
      </w:r>
      <w:r>
        <w:t xml:space="preserve">” </w:t>
      </w:r>
      <w:r w:rsidRPr="00AA4C73">
        <w:rPr>
          <w:i/>
        </w:rPr>
        <w:t>Critical Sociology</w:t>
      </w:r>
      <w:r>
        <w:t>, 1996.</w:t>
      </w:r>
    </w:p>
    <w:p w14:paraId="057BF500" w14:textId="2D5C81CC" w:rsidR="00BE103D" w:rsidRDefault="00BE103D" w:rsidP="00550CB5">
      <w:pPr>
        <w:spacing w:line="480" w:lineRule="auto"/>
        <w:ind w:left="720" w:hanging="720"/>
      </w:pPr>
      <w:r w:rsidRPr="00BE103D">
        <w:t>Locke, John, and C</w:t>
      </w:r>
      <w:r>
        <w:t>.</w:t>
      </w:r>
      <w:r w:rsidRPr="00BE103D">
        <w:t xml:space="preserve"> B. Macpherson. </w:t>
      </w:r>
      <w:r w:rsidRPr="00BE103D">
        <w:rPr>
          <w:i/>
        </w:rPr>
        <w:t>Second Treatise of Government</w:t>
      </w:r>
      <w:r w:rsidRPr="00BE103D">
        <w:t>.</w:t>
      </w:r>
      <w:r>
        <w:t xml:space="preserve"> </w:t>
      </w:r>
      <w:r w:rsidRPr="00BE103D">
        <w:t>Indianapolis, Ind: Hackett Pub. Co, 1980. Print.</w:t>
      </w:r>
    </w:p>
    <w:p w14:paraId="0543BA2E" w14:textId="124A307C" w:rsidR="00C04675" w:rsidRDefault="00C04675" w:rsidP="00550CB5">
      <w:pPr>
        <w:spacing w:line="480" w:lineRule="auto"/>
        <w:ind w:left="720" w:hanging="720"/>
      </w:pPr>
      <w:proofErr w:type="spellStart"/>
      <w:r w:rsidRPr="00C04675">
        <w:t>Manza</w:t>
      </w:r>
      <w:proofErr w:type="spellEnd"/>
      <w:r w:rsidRPr="00C04675">
        <w:t xml:space="preserve">, Jeff, et al. “Public Attitudes toward Felon Disenfranchisement in the United States.” </w:t>
      </w:r>
      <w:r w:rsidRPr="00C04675">
        <w:rPr>
          <w:i/>
        </w:rPr>
        <w:t>Public Opinion Quarterly</w:t>
      </w:r>
      <w:r w:rsidRPr="00C04675">
        <w:t>, vol. 68, no. 2, Summer 2004, pp. 275–286.</w:t>
      </w:r>
    </w:p>
    <w:p w14:paraId="669B9C8B" w14:textId="28B53DDD" w:rsidR="0027100D" w:rsidRDefault="0027100D" w:rsidP="00550CB5">
      <w:pPr>
        <w:spacing w:line="480" w:lineRule="auto"/>
        <w:ind w:left="720" w:hanging="720"/>
      </w:pPr>
      <w:r w:rsidRPr="0027100D">
        <w:t xml:space="preserve">Mauer, Marc. “Confronting Felony Disenfranchisement: Toward a Movement for Full Citizenship.” </w:t>
      </w:r>
      <w:r w:rsidRPr="0027100D">
        <w:rPr>
          <w:i/>
        </w:rPr>
        <w:t>Social Justice</w:t>
      </w:r>
      <w:r w:rsidRPr="0027100D">
        <w:t>, vol. 45, no. 1, Jan. 2018, pp. 13–25.</w:t>
      </w:r>
    </w:p>
    <w:p w14:paraId="4C130C4B" w14:textId="115165C6" w:rsidR="003142BE" w:rsidRDefault="003142BE" w:rsidP="00550CB5">
      <w:pPr>
        <w:spacing w:line="480" w:lineRule="auto"/>
        <w:ind w:left="720" w:hanging="720"/>
      </w:pPr>
      <w:r w:rsidRPr="003142BE">
        <w:t>1901 Proceedings, Alabama Constitutional Convention. May 22, 1901. Montgomery, Alabama.</w:t>
      </w:r>
    </w:p>
    <w:p w14:paraId="6EF3FA85" w14:textId="77777777" w:rsidR="004D3F69" w:rsidRDefault="004D3F69" w:rsidP="00550CB5">
      <w:pPr>
        <w:spacing w:line="480" w:lineRule="auto"/>
        <w:ind w:left="720" w:hanging="720"/>
      </w:pPr>
      <w:proofErr w:type="spellStart"/>
      <w:r w:rsidRPr="00FC58AF">
        <w:t>Pasek</w:t>
      </w:r>
      <w:proofErr w:type="spellEnd"/>
      <w:r w:rsidRPr="00FC58AF">
        <w:t xml:space="preserve">, Josh, et al. “The Impact </w:t>
      </w:r>
      <w:r>
        <w:t>o</w:t>
      </w:r>
      <w:r w:rsidRPr="00FC58AF">
        <w:t xml:space="preserve">f Anti-Black Racism </w:t>
      </w:r>
      <w:r>
        <w:t>o</w:t>
      </w:r>
      <w:r w:rsidRPr="00FC58AF">
        <w:t xml:space="preserve">n Approval </w:t>
      </w:r>
      <w:r>
        <w:t>o</w:t>
      </w:r>
      <w:r w:rsidRPr="00FC58AF">
        <w:t xml:space="preserve">f Barack Obama’s Job Performance </w:t>
      </w:r>
      <w:r>
        <w:t>a</w:t>
      </w:r>
      <w:r w:rsidRPr="00FC58AF">
        <w:t xml:space="preserve">nd </w:t>
      </w:r>
      <w:r>
        <w:t>o</w:t>
      </w:r>
      <w:r w:rsidRPr="00FC58AF">
        <w:t xml:space="preserve">n Voting </w:t>
      </w:r>
      <w:r>
        <w:t>i</w:t>
      </w:r>
      <w:r w:rsidRPr="00FC58AF">
        <w:t xml:space="preserve">n </w:t>
      </w:r>
      <w:r>
        <w:t>t</w:t>
      </w:r>
      <w:r w:rsidRPr="00FC58AF">
        <w:t>he 2012 Presidential Election.” Unpublished manuscript, Stanford University. 2012.</w:t>
      </w:r>
    </w:p>
    <w:p w14:paraId="5CE12977" w14:textId="48DD5ADF" w:rsidR="00623F66" w:rsidRDefault="00623F66" w:rsidP="00550CB5">
      <w:pPr>
        <w:spacing w:line="480" w:lineRule="auto"/>
        <w:ind w:left="720" w:hanging="720"/>
      </w:pPr>
      <w:r>
        <w:t xml:space="preserve">Powell, Lauren Latterell. “Concealed Motives: Rethinking Fourteenth Amendment and Voting Rights Challenges to Felon Disenfranchisement.” </w:t>
      </w:r>
      <w:r>
        <w:rPr>
          <w:i/>
        </w:rPr>
        <w:t>Michigan Journal of Race &amp; Law</w:t>
      </w:r>
      <w:r>
        <w:t>, vol. 22, no. 2, Spring 2017, pp. 383-410.</w:t>
      </w:r>
    </w:p>
    <w:p w14:paraId="4F3AF7AB" w14:textId="5A602C8D" w:rsidR="00E16408" w:rsidRDefault="00E16408" w:rsidP="00E16408">
      <w:pPr>
        <w:spacing w:line="480" w:lineRule="auto"/>
        <w:ind w:left="720" w:hanging="720"/>
      </w:pPr>
      <w:r>
        <w:lastRenderedPageBreak/>
        <w:t xml:space="preserve">Ruth, Terrance, et al. “Ethics of Disenfranchisement and Voting Rights in the U.S.: Convicted Felons, the Homeless, and Immigrants.” </w:t>
      </w:r>
      <w:r>
        <w:rPr>
          <w:i/>
        </w:rPr>
        <w:t>American Journal of Criminal Justice</w:t>
      </w:r>
      <w:r>
        <w:t xml:space="preserve">, vol. 42, no. 1, Mar. 2017, pp. 56-68. </w:t>
      </w:r>
    </w:p>
    <w:p w14:paraId="369A158F" w14:textId="5039DDD9" w:rsidR="00356109" w:rsidRDefault="00356109" w:rsidP="00E16408">
      <w:pPr>
        <w:spacing w:line="480" w:lineRule="auto"/>
        <w:ind w:left="720" w:hanging="720"/>
      </w:pPr>
      <w:proofErr w:type="spellStart"/>
      <w:r w:rsidRPr="00356109">
        <w:t>Sakala</w:t>
      </w:r>
      <w:proofErr w:type="spellEnd"/>
      <w:r w:rsidRPr="00356109">
        <w:t xml:space="preserve">, Leah. “Breaking Down Mass Incarceration in the 2010 Census: State-by-State Incarceration Rates by Race/Ethnicity.” </w:t>
      </w:r>
      <w:r w:rsidRPr="00356109">
        <w:rPr>
          <w:i/>
        </w:rPr>
        <w:t>Prison Policy Initiative</w:t>
      </w:r>
      <w:r w:rsidRPr="00356109">
        <w:t>, 28 May 2014.</w:t>
      </w:r>
    </w:p>
    <w:p w14:paraId="05F9A731" w14:textId="558FB0BB" w:rsidR="00CC361B" w:rsidRPr="005E6BBB" w:rsidRDefault="00CC361B" w:rsidP="00E16408">
      <w:pPr>
        <w:spacing w:line="480" w:lineRule="auto"/>
        <w:ind w:left="720" w:hanging="720"/>
      </w:pPr>
      <w:proofErr w:type="spellStart"/>
      <w:r w:rsidRPr="00CC361B">
        <w:t>Schall</w:t>
      </w:r>
      <w:proofErr w:type="spellEnd"/>
      <w:r w:rsidRPr="00CC361B">
        <w:t xml:space="preserve">, Jason. “The Consistency of Felon Disenfranchisement with Citizenship Theory.” </w:t>
      </w:r>
      <w:r w:rsidRPr="00CC361B">
        <w:rPr>
          <w:i/>
        </w:rPr>
        <w:t xml:space="preserve">Harvard </w:t>
      </w:r>
      <w:proofErr w:type="spellStart"/>
      <w:r w:rsidRPr="00CC361B">
        <w:rPr>
          <w:i/>
        </w:rPr>
        <w:t>BlackLetter</w:t>
      </w:r>
      <w:proofErr w:type="spellEnd"/>
      <w:r w:rsidRPr="00CC361B">
        <w:rPr>
          <w:i/>
        </w:rPr>
        <w:t xml:space="preserve"> Law Journal</w:t>
      </w:r>
      <w:r w:rsidRPr="00CC361B">
        <w:t>, vol. 22, Spring 2006, pp. 53–93.</w:t>
      </w:r>
    </w:p>
    <w:p w14:paraId="3F80930B" w14:textId="3E75EABB" w:rsidR="00826E79" w:rsidRDefault="00550CB5" w:rsidP="00826E79">
      <w:pPr>
        <w:spacing w:line="480" w:lineRule="auto"/>
        <w:ind w:left="720" w:hanging="720"/>
      </w:pPr>
      <w:r w:rsidRPr="00DD117F">
        <w:t xml:space="preserve">Schmitter, Philippe, and Terry Karl. “What Democracy Is... and Is Not.” </w:t>
      </w:r>
      <w:r w:rsidRPr="00DD117F">
        <w:rPr>
          <w:i/>
        </w:rPr>
        <w:t>Journal of Democracy</w:t>
      </w:r>
      <w:r w:rsidRPr="00DD117F">
        <w:t>, 1991, pp. 3–16.</w:t>
      </w:r>
    </w:p>
    <w:p w14:paraId="4CBAE3A5" w14:textId="7588505F" w:rsidR="00AA4C73" w:rsidRDefault="00AA4C73" w:rsidP="00826E79">
      <w:pPr>
        <w:spacing w:line="480" w:lineRule="auto"/>
        <w:ind w:left="720" w:hanging="720"/>
      </w:pPr>
      <w:proofErr w:type="spellStart"/>
      <w:r w:rsidRPr="00AA4C73">
        <w:t>Somashekhar</w:t>
      </w:r>
      <w:proofErr w:type="spellEnd"/>
      <w:r w:rsidRPr="00AA4C73">
        <w:t>, Sandhya</w:t>
      </w:r>
      <w:r>
        <w:t>,</w:t>
      </w:r>
      <w:r w:rsidRPr="00AA4C73">
        <w:t xml:space="preserve"> and Steven Rich. “Finally Tally: Police Shot and Killed 986 People in 2015.” </w:t>
      </w:r>
      <w:r w:rsidRPr="00AA4C73">
        <w:rPr>
          <w:i/>
        </w:rPr>
        <w:t>The Washington Post,</w:t>
      </w:r>
      <w:r w:rsidRPr="00AA4C73">
        <w:t xml:space="preserve"> 2016.</w:t>
      </w:r>
    </w:p>
    <w:p w14:paraId="4A90DAD7" w14:textId="32284BBD" w:rsidR="004D3F69" w:rsidRDefault="004D3F69" w:rsidP="00826E79">
      <w:pPr>
        <w:spacing w:line="480" w:lineRule="auto"/>
        <w:ind w:left="720" w:hanging="720"/>
      </w:pPr>
      <w:r w:rsidRPr="00D519E5">
        <w:t xml:space="preserve">Stevens-Davidowitz, Seth. “The Cost of Racial Animus on a Black Candidate: Evidence Using Google Search Data.” </w:t>
      </w:r>
      <w:r w:rsidRPr="00D519E5">
        <w:rPr>
          <w:i/>
        </w:rPr>
        <w:t>Journal of Public Economics</w:t>
      </w:r>
      <w:r w:rsidRPr="00D519E5">
        <w:t>, 2 June 2014.</w:t>
      </w:r>
    </w:p>
    <w:p w14:paraId="7CB3E41B" w14:textId="1C42DFA4" w:rsidR="00C04675" w:rsidRDefault="00C04675" w:rsidP="00826E79">
      <w:pPr>
        <w:spacing w:line="480" w:lineRule="auto"/>
        <w:ind w:left="720" w:hanging="720"/>
      </w:pPr>
      <w:proofErr w:type="spellStart"/>
      <w:r w:rsidRPr="00C04675">
        <w:t>Uggen</w:t>
      </w:r>
      <w:proofErr w:type="spellEnd"/>
      <w:r w:rsidRPr="00C04675">
        <w:t xml:space="preserve">, Christopher. “What Americans Believe about Voting Rights for People Convicted of Felony Crimes.” </w:t>
      </w:r>
      <w:r w:rsidRPr="00C04675">
        <w:rPr>
          <w:i/>
        </w:rPr>
        <w:t>Scholars Strategy Network</w:t>
      </w:r>
      <w:r w:rsidRPr="00C04675">
        <w:t>, 1 Apr. 2012.</w:t>
      </w:r>
    </w:p>
    <w:p w14:paraId="471A3996" w14:textId="5122280A" w:rsidR="00AE3D5A" w:rsidRDefault="00AE3D5A" w:rsidP="00826E79">
      <w:pPr>
        <w:spacing w:line="480" w:lineRule="auto"/>
        <w:ind w:left="720" w:hanging="720"/>
      </w:pPr>
      <w:proofErr w:type="spellStart"/>
      <w:r>
        <w:t>Uggen</w:t>
      </w:r>
      <w:proofErr w:type="spellEnd"/>
      <w:r>
        <w:t xml:space="preserve">, Christopher, and Jeff </w:t>
      </w:r>
      <w:proofErr w:type="spellStart"/>
      <w:r>
        <w:t>Manza</w:t>
      </w:r>
      <w:proofErr w:type="spellEnd"/>
      <w:r>
        <w:t xml:space="preserve">. “Democratic Contraction? Political Consequences of Felon Disenfranchisement in the United States.” </w:t>
      </w:r>
      <w:r>
        <w:rPr>
          <w:i/>
        </w:rPr>
        <w:t>American Sociological Review,</w:t>
      </w:r>
      <w:r>
        <w:t xml:space="preserve"> no. 6, 2002, p. 777.</w:t>
      </w:r>
    </w:p>
    <w:p w14:paraId="51C29A55" w14:textId="54B7FE72" w:rsidR="00826E79" w:rsidRDefault="00826E79" w:rsidP="00826E79">
      <w:pPr>
        <w:spacing w:line="480" w:lineRule="auto"/>
        <w:ind w:left="720" w:hanging="720"/>
      </w:pPr>
      <w:proofErr w:type="spellStart"/>
      <w:r w:rsidRPr="00826E79">
        <w:t>Uggen</w:t>
      </w:r>
      <w:proofErr w:type="spellEnd"/>
      <w:r w:rsidRPr="00826E79">
        <w:t>, Christopher, Ryan Larson, and Sarah Shannon. “</w:t>
      </w:r>
      <w:r w:rsidR="00AE3D5A">
        <w:t>Six</w:t>
      </w:r>
      <w:r w:rsidRPr="00826E79">
        <w:t xml:space="preserve"> Million Lost Voters: State-Level Estimates of Felony Disenfranchisement, 2016.” </w:t>
      </w:r>
      <w:r w:rsidRPr="00826E79">
        <w:rPr>
          <w:i/>
        </w:rPr>
        <w:t>The Sentencing Project</w:t>
      </w:r>
      <w:r w:rsidRPr="00826E79">
        <w:t>, October 2016.</w:t>
      </w:r>
    </w:p>
    <w:p w14:paraId="31A94E94" w14:textId="597728F4" w:rsidR="006B5EE7" w:rsidRPr="006B5EE7" w:rsidRDefault="006B5EE7" w:rsidP="006B5EE7">
      <w:pPr>
        <w:pStyle w:val="FootnoteText"/>
        <w:spacing w:line="480" w:lineRule="auto"/>
        <w:ind w:left="720" w:hanging="720"/>
        <w:rPr>
          <w:sz w:val="24"/>
          <w:szCs w:val="24"/>
        </w:rPr>
      </w:pPr>
      <w:r w:rsidRPr="006B5EE7">
        <w:rPr>
          <w:sz w:val="24"/>
          <w:szCs w:val="24"/>
        </w:rPr>
        <w:t xml:space="preserve">“Wide Gender Gap, Growing Educational Divide in Voters’ Party Identification.” </w:t>
      </w:r>
      <w:r w:rsidRPr="006B5EE7">
        <w:rPr>
          <w:i/>
          <w:sz w:val="24"/>
          <w:szCs w:val="24"/>
        </w:rPr>
        <w:t>Pew Research Center</w:t>
      </w:r>
      <w:r w:rsidRPr="006B5EE7">
        <w:rPr>
          <w:sz w:val="24"/>
          <w:szCs w:val="24"/>
        </w:rPr>
        <w:t xml:space="preserve">, </w:t>
      </w:r>
      <w:proofErr w:type="gramStart"/>
      <w:r w:rsidRPr="006B5EE7">
        <w:rPr>
          <w:sz w:val="24"/>
          <w:szCs w:val="24"/>
        </w:rPr>
        <w:t>March,</w:t>
      </w:r>
      <w:proofErr w:type="gramEnd"/>
      <w:r w:rsidRPr="006B5EE7">
        <w:rPr>
          <w:sz w:val="24"/>
          <w:szCs w:val="24"/>
        </w:rPr>
        <w:t xml:space="preserve"> 2018.</w:t>
      </w:r>
    </w:p>
    <w:p w14:paraId="60E24A7C" w14:textId="77777777" w:rsidR="006B5EE7" w:rsidRDefault="006B5EE7" w:rsidP="00BC7E2B">
      <w:pPr>
        <w:spacing w:line="480" w:lineRule="auto"/>
        <w:ind w:left="720" w:hanging="720"/>
        <w:jc w:val="center"/>
      </w:pPr>
    </w:p>
    <w:p w14:paraId="6992888C" w14:textId="4B6AF268" w:rsidR="00BC7E2B" w:rsidRDefault="00BC7E2B" w:rsidP="00BC7E2B">
      <w:pPr>
        <w:spacing w:line="480" w:lineRule="auto"/>
        <w:ind w:left="720" w:hanging="720"/>
        <w:jc w:val="center"/>
      </w:pPr>
      <w:r>
        <w:lastRenderedPageBreak/>
        <w:t>Case Law</w:t>
      </w:r>
    </w:p>
    <w:p w14:paraId="1AD4C208" w14:textId="0A92919F" w:rsidR="00931436" w:rsidRDefault="00931436" w:rsidP="00931436">
      <w:pPr>
        <w:tabs>
          <w:tab w:val="left" w:pos="7306"/>
        </w:tabs>
        <w:spacing w:line="480" w:lineRule="auto"/>
        <w:rPr>
          <w:u w:val="single"/>
        </w:rPr>
      </w:pPr>
      <w:r w:rsidRPr="00931436">
        <w:rPr>
          <w:u w:val="single"/>
        </w:rPr>
        <w:t>Hunter v Underwood</w:t>
      </w:r>
      <w:r w:rsidRPr="00931436">
        <w:t>, 471 U.S. 222 (1985)</w:t>
      </w:r>
    </w:p>
    <w:p w14:paraId="24992717" w14:textId="1BC97686" w:rsidR="00BE1F4B" w:rsidRDefault="00BE1F4B" w:rsidP="009110F0">
      <w:pPr>
        <w:tabs>
          <w:tab w:val="left" w:pos="7306"/>
        </w:tabs>
        <w:spacing w:line="480" w:lineRule="auto"/>
        <w:ind w:left="720" w:hanging="720"/>
        <w:rPr>
          <w:u w:val="single"/>
        </w:rPr>
      </w:pPr>
      <w:r w:rsidRPr="00BE1F4B">
        <w:rPr>
          <w:u w:val="single"/>
        </w:rPr>
        <w:t>Shepherd v Trevino</w:t>
      </w:r>
      <w:r w:rsidRPr="00BE1F4B">
        <w:t>, 575 F.2d 1110 (5th Cir. 1978)</w:t>
      </w:r>
    </w:p>
    <w:p w14:paraId="61AF86C7" w14:textId="77777777" w:rsidR="00157239" w:rsidRDefault="00BC7E2B" w:rsidP="009110F0">
      <w:pPr>
        <w:tabs>
          <w:tab w:val="left" w:pos="7306"/>
        </w:tabs>
        <w:spacing w:line="480" w:lineRule="auto"/>
        <w:ind w:left="720" w:hanging="720"/>
      </w:pPr>
      <w:r w:rsidRPr="00BC7E2B">
        <w:rPr>
          <w:u w:val="single"/>
        </w:rPr>
        <w:t>Richardson v. Ramirez</w:t>
      </w:r>
      <w:r w:rsidRPr="00BC7E2B">
        <w:t>, 418 U.S. 24 (1974)</w:t>
      </w:r>
    </w:p>
    <w:p w14:paraId="05D805FF" w14:textId="25D27795" w:rsidR="00EF016F" w:rsidRPr="00550CB5" w:rsidRDefault="00157239" w:rsidP="009110F0">
      <w:pPr>
        <w:tabs>
          <w:tab w:val="left" w:pos="7306"/>
        </w:tabs>
        <w:spacing w:line="480" w:lineRule="auto"/>
        <w:ind w:left="720" w:hanging="720"/>
      </w:pPr>
      <w:r w:rsidRPr="00157239">
        <w:rPr>
          <w:u w:val="single"/>
        </w:rPr>
        <w:t>United States v. State of Alabama</w:t>
      </w:r>
      <w:r w:rsidRPr="00157239">
        <w:t>, 252 F. Supp. 95 (M.D. Ala. 1966)</w:t>
      </w:r>
      <w:r w:rsidR="009110F0">
        <w:tab/>
      </w:r>
    </w:p>
    <w:sectPr w:rsidR="00EF016F" w:rsidRPr="00550CB5" w:rsidSect="009110F0">
      <w:headerReference w:type="even" r:id="rId24"/>
      <w:head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D6531" w14:textId="77777777" w:rsidR="0078089C" w:rsidRDefault="0078089C" w:rsidP="00B449BF">
      <w:r>
        <w:separator/>
      </w:r>
    </w:p>
  </w:endnote>
  <w:endnote w:type="continuationSeparator" w:id="0">
    <w:p w14:paraId="16D78CD1" w14:textId="77777777" w:rsidR="0078089C" w:rsidRDefault="0078089C" w:rsidP="00B44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B8582" w14:textId="77777777" w:rsidR="00BE79EF" w:rsidRDefault="00BE79EF" w:rsidP="009110F0">
    <w:pPr>
      <w:jc w:val="center"/>
      <w:rPr>
        <w:b/>
      </w:rPr>
    </w:pPr>
    <w:r>
      <w:rPr>
        <w:b/>
      </w:rPr>
      <w:t>JASON TYLER SMITH</w:t>
    </w:r>
  </w:p>
  <w:p w14:paraId="1D1D9CC7" w14:textId="77777777" w:rsidR="00BE79EF" w:rsidRDefault="00BE79EF" w:rsidP="009110F0">
    <w:pPr>
      <w:jc w:val="center"/>
      <w:rPr>
        <w:b/>
      </w:rPr>
    </w:pPr>
    <w:r>
      <w:rPr>
        <w:b/>
      </w:rPr>
      <w:t>SPRING 2019</w:t>
    </w:r>
  </w:p>
  <w:p w14:paraId="14143BE3" w14:textId="77777777" w:rsidR="00BE79EF" w:rsidRDefault="00BE79EF" w:rsidP="009110F0">
    <w:pPr>
      <w:jc w:val="center"/>
      <w:rPr>
        <w:b/>
      </w:rPr>
    </w:pPr>
    <w:r>
      <w:rPr>
        <w:b/>
      </w:rPr>
      <w:t>ILLINOIS STATE UNIVERSITY</w:t>
    </w:r>
  </w:p>
  <w:p w14:paraId="674A32C7" w14:textId="77777777" w:rsidR="00BE79EF" w:rsidRDefault="00BE79EF" w:rsidP="009110F0">
    <w:pPr>
      <w:jc w:val="center"/>
      <w:rPr>
        <w:b/>
      </w:rPr>
    </w:pPr>
    <w:r>
      <w:rPr>
        <w:b/>
      </w:rPr>
      <w:t>DEPARTMENT OF POLITICS AND GOVERNMENT</w:t>
    </w:r>
  </w:p>
  <w:p w14:paraId="7128DAB7" w14:textId="77777777" w:rsidR="00BE79EF" w:rsidRDefault="00BE7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4D855" w14:textId="77777777" w:rsidR="0078089C" w:rsidRDefault="0078089C" w:rsidP="00B449BF">
      <w:r>
        <w:separator/>
      </w:r>
    </w:p>
  </w:footnote>
  <w:footnote w:type="continuationSeparator" w:id="0">
    <w:p w14:paraId="4E1312FF" w14:textId="77777777" w:rsidR="0078089C" w:rsidRDefault="0078089C" w:rsidP="00B449BF">
      <w:r>
        <w:continuationSeparator/>
      </w:r>
    </w:p>
  </w:footnote>
  <w:footnote w:id="1">
    <w:p w14:paraId="40629502" w14:textId="20FB4C23" w:rsidR="00BE79EF" w:rsidRDefault="00BE79EF" w:rsidP="00CF7F11">
      <w:pPr>
        <w:ind w:left="720" w:hanging="720"/>
      </w:pPr>
      <w:r>
        <w:rPr>
          <w:rStyle w:val="FootnoteReference"/>
        </w:rPr>
        <w:footnoteRef/>
      </w:r>
      <w:r>
        <w:t xml:space="preserve"> </w:t>
      </w:r>
      <w:r w:rsidRPr="00DD117F">
        <w:t xml:space="preserve">Schmitter, Philippe, and Terry Karl. “What Democracy Is... and Is Not.” </w:t>
      </w:r>
      <w:r w:rsidRPr="00DD117F">
        <w:rPr>
          <w:i/>
        </w:rPr>
        <w:t>Journal of Democracy</w:t>
      </w:r>
      <w:r w:rsidRPr="00DD117F">
        <w:t>, 1991, pp. 3–16.</w:t>
      </w:r>
    </w:p>
    <w:p w14:paraId="12AB6BFF" w14:textId="17272C1B" w:rsidR="00BE79EF" w:rsidRDefault="00BE79EF">
      <w:pPr>
        <w:pStyle w:val="FootnoteText"/>
      </w:pPr>
    </w:p>
  </w:footnote>
  <w:footnote w:id="2">
    <w:p w14:paraId="39724AF7" w14:textId="47C35F50" w:rsidR="00BE79EF" w:rsidRPr="009248A5" w:rsidRDefault="00BE79EF" w:rsidP="009248A5">
      <w:pPr>
        <w:ind w:left="1440" w:hanging="1440"/>
      </w:pPr>
      <w:r w:rsidRPr="009248A5">
        <w:rPr>
          <w:rStyle w:val="FootnoteReference"/>
        </w:rPr>
        <w:footnoteRef/>
      </w:r>
      <w:r w:rsidRPr="009248A5">
        <w:t xml:space="preserve"> Dahl, Robert A. “Dilemmas of Pluralist Democracy.” </w:t>
      </w:r>
      <w:r w:rsidRPr="009248A5">
        <w:rPr>
          <w:i/>
        </w:rPr>
        <w:t>Yale University Press</w:t>
      </w:r>
      <w:r w:rsidRPr="009248A5">
        <w:t>, 1982, p. 11.</w:t>
      </w:r>
    </w:p>
  </w:footnote>
  <w:footnote w:id="3">
    <w:p w14:paraId="1AC975D9" w14:textId="40FC9F32" w:rsidR="00BE79EF" w:rsidRDefault="00BE79EF" w:rsidP="009248A5">
      <w:pPr>
        <w:pStyle w:val="FootnoteText"/>
        <w:ind w:left="1440" w:hanging="1440"/>
      </w:pPr>
      <w:r w:rsidRPr="009248A5">
        <w:rPr>
          <w:rStyle w:val="FootnoteReference"/>
          <w:sz w:val="24"/>
          <w:szCs w:val="24"/>
        </w:rPr>
        <w:footnoteRef/>
      </w:r>
      <w:r w:rsidRPr="009248A5">
        <w:rPr>
          <w:sz w:val="24"/>
          <w:szCs w:val="24"/>
        </w:rPr>
        <w:t xml:space="preserve"> Schmitter, Philippe, and Terry Karl. “What Democracy Is... and Is Not.” </w:t>
      </w:r>
      <w:r w:rsidRPr="009248A5">
        <w:rPr>
          <w:i/>
          <w:sz w:val="24"/>
          <w:szCs w:val="24"/>
        </w:rPr>
        <w:t>Journal of Democracy</w:t>
      </w:r>
      <w:r w:rsidRPr="009248A5">
        <w:rPr>
          <w:sz w:val="24"/>
          <w:szCs w:val="24"/>
        </w:rPr>
        <w:t>, 1991, pp. 3–16.</w:t>
      </w:r>
    </w:p>
  </w:footnote>
  <w:footnote w:id="4">
    <w:p w14:paraId="03A58F95" w14:textId="77777777" w:rsidR="00BE79EF" w:rsidRPr="00826E79" w:rsidRDefault="00BE79EF" w:rsidP="00CF7F11">
      <w:pPr>
        <w:pStyle w:val="FootnoteText"/>
        <w:ind w:left="720" w:hanging="720"/>
        <w:rPr>
          <w:sz w:val="24"/>
          <w:szCs w:val="24"/>
        </w:rPr>
      </w:pPr>
      <w:r w:rsidRPr="00826E79">
        <w:rPr>
          <w:rStyle w:val="FootnoteReference"/>
          <w:sz w:val="24"/>
          <w:szCs w:val="24"/>
        </w:rPr>
        <w:footnoteRef/>
      </w:r>
      <w:r w:rsidRPr="00826E79">
        <w:rPr>
          <w:sz w:val="24"/>
          <w:szCs w:val="24"/>
        </w:rPr>
        <w:t xml:space="preserve"> </w:t>
      </w:r>
      <w:proofErr w:type="spellStart"/>
      <w:r w:rsidRPr="00826E79">
        <w:rPr>
          <w:sz w:val="24"/>
          <w:szCs w:val="24"/>
        </w:rPr>
        <w:t>Uggen</w:t>
      </w:r>
      <w:proofErr w:type="spellEnd"/>
      <w:r w:rsidRPr="00826E79">
        <w:rPr>
          <w:sz w:val="24"/>
          <w:szCs w:val="24"/>
        </w:rPr>
        <w:t xml:space="preserve">, Christopher, Ryan Larson, and Sarah Shannon. “6 Million Lost Voters: State-Level Estimates of Felony Disenfranchisement, 2016.” </w:t>
      </w:r>
      <w:r w:rsidRPr="00826E79">
        <w:rPr>
          <w:i/>
          <w:sz w:val="24"/>
          <w:szCs w:val="24"/>
        </w:rPr>
        <w:t>The Sentencing Project</w:t>
      </w:r>
      <w:r w:rsidRPr="00826E79">
        <w:rPr>
          <w:sz w:val="24"/>
          <w:szCs w:val="24"/>
        </w:rPr>
        <w:t>, October 2016.</w:t>
      </w:r>
    </w:p>
  </w:footnote>
  <w:footnote w:id="5">
    <w:p w14:paraId="607036E7" w14:textId="7349B489" w:rsidR="00BE79EF" w:rsidRDefault="00BE79EF" w:rsidP="00CF7F11">
      <w:pPr>
        <w:ind w:left="720" w:hanging="720"/>
      </w:pPr>
      <w:r>
        <w:rPr>
          <w:rStyle w:val="FootnoteReference"/>
        </w:rPr>
        <w:footnoteRef/>
      </w:r>
      <w:r>
        <w:t xml:space="preserve"> Bennett, Christopher. “Penal Disenfranchisement.” </w:t>
      </w:r>
      <w:r>
        <w:rPr>
          <w:i/>
        </w:rPr>
        <w:t xml:space="preserve">Criminal Law &amp; Philosophy, </w:t>
      </w:r>
      <w:r>
        <w:t xml:space="preserve">vol. 10, no. 3, Sept. 2016, pp. 411-425. </w:t>
      </w:r>
    </w:p>
  </w:footnote>
  <w:footnote w:id="6">
    <w:p w14:paraId="6E29B71A" w14:textId="2A36315E" w:rsidR="00BE79EF" w:rsidRPr="0027100D" w:rsidRDefault="00BE79EF" w:rsidP="0027100D">
      <w:pPr>
        <w:pStyle w:val="FootnoteText"/>
        <w:ind w:left="720" w:hanging="720"/>
        <w:rPr>
          <w:sz w:val="24"/>
          <w:szCs w:val="24"/>
        </w:rPr>
      </w:pPr>
      <w:r w:rsidRPr="0027100D">
        <w:rPr>
          <w:rStyle w:val="FootnoteReference"/>
          <w:sz w:val="24"/>
          <w:szCs w:val="24"/>
        </w:rPr>
        <w:footnoteRef/>
      </w:r>
      <w:r w:rsidRPr="0027100D">
        <w:rPr>
          <w:sz w:val="24"/>
          <w:szCs w:val="24"/>
        </w:rPr>
        <w:t xml:space="preserve"> Mauer, Marc. “Confronting Felony Disenfranchisement: Toward a Movement for Full Citizenship.” </w:t>
      </w:r>
      <w:r w:rsidRPr="0027100D">
        <w:rPr>
          <w:i/>
          <w:sz w:val="24"/>
          <w:szCs w:val="24"/>
        </w:rPr>
        <w:t>Social Justice</w:t>
      </w:r>
      <w:r w:rsidRPr="0027100D">
        <w:rPr>
          <w:sz w:val="24"/>
          <w:szCs w:val="24"/>
        </w:rPr>
        <w:t>, vol. 45, no. 1, Jan. 2018, pp. 13–25.</w:t>
      </w:r>
    </w:p>
  </w:footnote>
  <w:footnote w:id="7">
    <w:p w14:paraId="5A834017" w14:textId="0F9D9439" w:rsidR="00BE79EF" w:rsidRPr="00BE103D" w:rsidRDefault="00BE79EF" w:rsidP="00BE103D">
      <w:pPr>
        <w:ind w:left="720" w:hanging="720"/>
      </w:pPr>
      <w:r w:rsidRPr="00BE103D">
        <w:rPr>
          <w:rStyle w:val="FootnoteReference"/>
        </w:rPr>
        <w:footnoteRef/>
      </w:r>
      <w:r w:rsidRPr="00BE103D">
        <w:t xml:space="preserve"> Locke, John, and C</w:t>
      </w:r>
      <w:r>
        <w:t>.</w:t>
      </w:r>
      <w:r w:rsidRPr="00BE103D">
        <w:t xml:space="preserve"> B. Macpherson. </w:t>
      </w:r>
      <w:r w:rsidRPr="00BE103D">
        <w:rPr>
          <w:i/>
        </w:rPr>
        <w:t>Second Treatise of Government</w:t>
      </w:r>
      <w:r w:rsidRPr="00BE103D">
        <w:t>.</w:t>
      </w:r>
      <w:r>
        <w:t xml:space="preserve"> </w:t>
      </w:r>
      <w:r w:rsidRPr="00BE103D">
        <w:t>Indianapolis, Ind: Hackett Pub. Co, 1980. Print.</w:t>
      </w:r>
    </w:p>
  </w:footnote>
  <w:footnote w:id="8">
    <w:p w14:paraId="4BB9FE36" w14:textId="6D9FF197" w:rsidR="00BE79EF" w:rsidRDefault="00BE79EF" w:rsidP="00D20C94">
      <w:pPr>
        <w:ind w:left="720" w:hanging="720"/>
      </w:pPr>
      <w:r>
        <w:rPr>
          <w:rStyle w:val="FootnoteReference"/>
        </w:rPr>
        <w:footnoteRef/>
      </w:r>
      <w:r>
        <w:t xml:space="preserve"> </w:t>
      </w:r>
      <w:r w:rsidRPr="00550CB5">
        <w:t xml:space="preserve">Bennett, Christopher. “Penal Disenfranchisement.” </w:t>
      </w:r>
      <w:r w:rsidRPr="00550CB5">
        <w:rPr>
          <w:i/>
        </w:rPr>
        <w:t xml:space="preserve">Criminal Law &amp; Philosophy, </w:t>
      </w:r>
      <w:r w:rsidRPr="00550CB5">
        <w:t>vol. 10, no. 3, Sept. 2016, pp. 411-425.</w:t>
      </w:r>
    </w:p>
  </w:footnote>
  <w:footnote w:id="9">
    <w:p w14:paraId="102C5881" w14:textId="0C475931" w:rsidR="007D49A3" w:rsidRPr="007D49A3" w:rsidRDefault="007D49A3" w:rsidP="007D49A3">
      <w:pPr>
        <w:pStyle w:val="FootnoteText"/>
        <w:ind w:left="720" w:hanging="720"/>
        <w:rPr>
          <w:sz w:val="24"/>
          <w:szCs w:val="24"/>
        </w:rPr>
      </w:pPr>
      <w:r w:rsidRPr="007D49A3">
        <w:rPr>
          <w:rStyle w:val="FootnoteReference"/>
          <w:sz w:val="24"/>
          <w:szCs w:val="24"/>
        </w:rPr>
        <w:footnoteRef/>
      </w:r>
      <w:r w:rsidRPr="007D49A3">
        <w:rPr>
          <w:sz w:val="24"/>
          <w:szCs w:val="24"/>
        </w:rPr>
        <w:t xml:space="preserve"> </w:t>
      </w:r>
      <w:proofErr w:type="spellStart"/>
      <w:r w:rsidRPr="007D49A3">
        <w:rPr>
          <w:sz w:val="24"/>
          <w:szCs w:val="24"/>
        </w:rPr>
        <w:t>Cholbi</w:t>
      </w:r>
      <w:proofErr w:type="spellEnd"/>
      <w:r w:rsidRPr="007D49A3">
        <w:rPr>
          <w:sz w:val="24"/>
          <w:szCs w:val="24"/>
        </w:rPr>
        <w:t xml:space="preserve">, Michael J. “A Felon’s Right to Vote.” </w:t>
      </w:r>
      <w:r w:rsidRPr="007D49A3">
        <w:rPr>
          <w:i/>
          <w:sz w:val="24"/>
          <w:szCs w:val="24"/>
        </w:rPr>
        <w:t>Law &amp; Philosophy</w:t>
      </w:r>
      <w:r w:rsidRPr="007D49A3">
        <w:rPr>
          <w:sz w:val="24"/>
          <w:szCs w:val="24"/>
        </w:rPr>
        <w:t>, vol. 21, no. 4/5, Sept. 2002, pp. 535-565.</w:t>
      </w:r>
    </w:p>
  </w:footnote>
  <w:footnote w:id="10">
    <w:p w14:paraId="4A560CE8" w14:textId="1C6342F5" w:rsidR="00BE79EF" w:rsidRDefault="00BE79EF">
      <w:pPr>
        <w:pStyle w:val="FootnoteText"/>
      </w:pPr>
      <w:r w:rsidRPr="00D971D8">
        <w:rPr>
          <w:rStyle w:val="FootnoteReference"/>
          <w:sz w:val="24"/>
          <w:szCs w:val="24"/>
        </w:rPr>
        <w:footnoteRef/>
      </w:r>
      <w:r>
        <w:t xml:space="preserve"> </w:t>
      </w:r>
      <w:r w:rsidRPr="00BC7E2B">
        <w:rPr>
          <w:sz w:val="24"/>
          <w:szCs w:val="24"/>
          <w:u w:val="single"/>
        </w:rPr>
        <w:t>Richardson v. Ramirez</w:t>
      </w:r>
      <w:r w:rsidRPr="00BC7E2B">
        <w:rPr>
          <w:sz w:val="24"/>
          <w:szCs w:val="24"/>
        </w:rPr>
        <w:t>, 418 U.S. 24 (1974)</w:t>
      </w:r>
    </w:p>
  </w:footnote>
  <w:footnote w:id="11">
    <w:p w14:paraId="309452DA" w14:textId="613AEFBC" w:rsidR="00BE79EF" w:rsidRPr="00BE1F4B" w:rsidRDefault="00BE79EF">
      <w:pPr>
        <w:pStyle w:val="FootnoteText"/>
        <w:rPr>
          <w:sz w:val="24"/>
          <w:szCs w:val="24"/>
        </w:rPr>
      </w:pPr>
      <w:r w:rsidRPr="00BE1F4B">
        <w:rPr>
          <w:rStyle w:val="FootnoteReference"/>
          <w:sz w:val="24"/>
          <w:szCs w:val="24"/>
        </w:rPr>
        <w:footnoteRef/>
      </w:r>
      <w:r w:rsidRPr="00BE1F4B">
        <w:rPr>
          <w:sz w:val="24"/>
          <w:szCs w:val="24"/>
        </w:rPr>
        <w:t xml:space="preserve"> </w:t>
      </w:r>
      <w:r w:rsidRPr="00BE1F4B">
        <w:rPr>
          <w:sz w:val="24"/>
          <w:szCs w:val="24"/>
          <w:u w:val="single"/>
        </w:rPr>
        <w:t>Shepherd v Trevino</w:t>
      </w:r>
      <w:r w:rsidRPr="00BE1F4B">
        <w:rPr>
          <w:sz w:val="24"/>
          <w:szCs w:val="24"/>
        </w:rPr>
        <w:t>, 575 F.2d 1110 (5th Cir. 1978)</w:t>
      </w:r>
    </w:p>
  </w:footnote>
  <w:footnote w:id="12">
    <w:p w14:paraId="08242C6F" w14:textId="57D4B507" w:rsidR="00BE79EF" w:rsidRPr="00CC361B" w:rsidRDefault="00BE79EF" w:rsidP="00CC361B">
      <w:pPr>
        <w:pStyle w:val="FootnoteText"/>
        <w:ind w:left="720" w:hanging="720"/>
        <w:rPr>
          <w:sz w:val="24"/>
          <w:szCs w:val="24"/>
        </w:rPr>
      </w:pPr>
      <w:r w:rsidRPr="00CC361B">
        <w:rPr>
          <w:rStyle w:val="FootnoteReference"/>
          <w:sz w:val="24"/>
          <w:szCs w:val="24"/>
        </w:rPr>
        <w:footnoteRef/>
      </w:r>
      <w:r w:rsidRPr="00CC361B">
        <w:rPr>
          <w:sz w:val="24"/>
          <w:szCs w:val="24"/>
        </w:rPr>
        <w:t xml:space="preserve"> </w:t>
      </w:r>
      <w:proofErr w:type="spellStart"/>
      <w:r w:rsidRPr="00CC361B">
        <w:rPr>
          <w:sz w:val="24"/>
          <w:szCs w:val="24"/>
        </w:rPr>
        <w:t>Schall</w:t>
      </w:r>
      <w:proofErr w:type="spellEnd"/>
      <w:r w:rsidRPr="00CC361B">
        <w:rPr>
          <w:sz w:val="24"/>
          <w:szCs w:val="24"/>
        </w:rPr>
        <w:t xml:space="preserve">, Jason. “The Consistency of Felon Disenfranchisement with Citizenship Theory.” </w:t>
      </w:r>
      <w:r w:rsidRPr="00CC361B">
        <w:rPr>
          <w:i/>
          <w:sz w:val="24"/>
          <w:szCs w:val="24"/>
        </w:rPr>
        <w:t xml:space="preserve">Harvard </w:t>
      </w:r>
      <w:proofErr w:type="spellStart"/>
      <w:r w:rsidRPr="00CC361B">
        <w:rPr>
          <w:i/>
          <w:sz w:val="24"/>
          <w:szCs w:val="24"/>
        </w:rPr>
        <w:t>BlackLetter</w:t>
      </w:r>
      <w:proofErr w:type="spellEnd"/>
      <w:r w:rsidRPr="00CC361B">
        <w:rPr>
          <w:i/>
          <w:sz w:val="24"/>
          <w:szCs w:val="24"/>
        </w:rPr>
        <w:t xml:space="preserve"> Law Journal</w:t>
      </w:r>
      <w:r w:rsidRPr="00CC361B">
        <w:rPr>
          <w:sz w:val="24"/>
          <w:szCs w:val="24"/>
        </w:rPr>
        <w:t>, vol. 22, Spring 2006, pp. 53–93.</w:t>
      </w:r>
    </w:p>
  </w:footnote>
  <w:footnote w:id="13">
    <w:p w14:paraId="4CBEB3CF" w14:textId="79091BD1" w:rsidR="00BE79EF" w:rsidRPr="002F7C59" w:rsidRDefault="00BE79EF" w:rsidP="002F7C59">
      <w:pPr>
        <w:pStyle w:val="FootnoteText"/>
        <w:ind w:left="720" w:hanging="720"/>
        <w:rPr>
          <w:sz w:val="24"/>
          <w:szCs w:val="24"/>
        </w:rPr>
      </w:pPr>
      <w:r w:rsidRPr="002F7C59">
        <w:rPr>
          <w:rStyle w:val="FootnoteReference"/>
          <w:sz w:val="24"/>
          <w:szCs w:val="24"/>
        </w:rPr>
        <w:footnoteRef/>
      </w:r>
      <w:r w:rsidRPr="002F7C59">
        <w:rPr>
          <w:sz w:val="24"/>
          <w:szCs w:val="24"/>
        </w:rPr>
        <w:t xml:space="preserve"> Altman, Andrew. “Democratic Self-Determination and the Disenfranchisement of Felons.” </w:t>
      </w:r>
      <w:r w:rsidRPr="002F7C59">
        <w:rPr>
          <w:i/>
          <w:sz w:val="24"/>
          <w:szCs w:val="24"/>
        </w:rPr>
        <w:t>Journal of Applied Philosophy</w:t>
      </w:r>
      <w:r w:rsidRPr="002F7C59">
        <w:rPr>
          <w:sz w:val="24"/>
          <w:szCs w:val="24"/>
        </w:rPr>
        <w:t>, vol. 22, no. 3, Nov. 2005, pp. 263–273.</w:t>
      </w:r>
    </w:p>
  </w:footnote>
  <w:footnote w:id="14">
    <w:p w14:paraId="22C2940A" w14:textId="432437A4" w:rsidR="00BE79EF" w:rsidRPr="00A31852" w:rsidRDefault="00BE79EF" w:rsidP="00A31852">
      <w:pPr>
        <w:pStyle w:val="FootnoteText"/>
        <w:ind w:left="720" w:hanging="720"/>
        <w:rPr>
          <w:sz w:val="24"/>
          <w:szCs w:val="24"/>
        </w:rPr>
      </w:pPr>
      <w:r w:rsidRPr="00A31852">
        <w:rPr>
          <w:rStyle w:val="FootnoteReference"/>
          <w:sz w:val="24"/>
          <w:szCs w:val="24"/>
        </w:rPr>
        <w:footnoteRef/>
      </w:r>
      <w:r w:rsidRPr="00A31852">
        <w:rPr>
          <w:sz w:val="24"/>
          <w:szCs w:val="24"/>
        </w:rPr>
        <w:t xml:space="preserve"> Bülow, William. “Felon Disenfranchisement and the Argument from Democratic Self-Determination.” </w:t>
      </w:r>
      <w:r w:rsidRPr="00A31852">
        <w:rPr>
          <w:i/>
          <w:sz w:val="24"/>
          <w:szCs w:val="24"/>
        </w:rPr>
        <w:t>Philosophia</w:t>
      </w:r>
      <w:r w:rsidRPr="00A31852">
        <w:rPr>
          <w:sz w:val="24"/>
          <w:szCs w:val="24"/>
        </w:rPr>
        <w:t>, vol. 44, no. 3, Sept. 2016, pp. 759–774.</w:t>
      </w:r>
    </w:p>
  </w:footnote>
  <w:footnote w:id="15">
    <w:p w14:paraId="0C8AE3AF" w14:textId="096B4E2A" w:rsidR="00BE79EF" w:rsidRDefault="00BE79EF" w:rsidP="00A31852">
      <w:pPr>
        <w:ind w:left="720" w:hanging="720"/>
      </w:pPr>
      <w:r>
        <w:rPr>
          <w:rStyle w:val="FootnoteReference"/>
        </w:rPr>
        <w:footnoteRef/>
      </w:r>
      <w:r>
        <w:t xml:space="preserve"> Ruth, Terrance, et al. “Ethics of Disenfranchisement and Voting Rights in the U.S.: Convicted Felons, the Homeless, and Immigrants.” </w:t>
      </w:r>
      <w:r>
        <w:rPr>
          <w:i/>
        </w:rPr>
        <w:t>American Journal of Criminal Justice</w:t>
      </w:r>
      <w:r>
        <w:t>, vol. 42, no. 1, Mar. 2017, pp. 56-68.</w:t>
      </w:r>
    </w:p>
  </w:footnote>
  <w:footnote w:id="16">
    <w:p w14:paraId="4DD4CB18" w14:textId="551B0A69" w:rsidR="00BE79EF" w:rsidRPr="00A31852" w:rsidRDefault="00BE79EF" w:rsidP="00A31852">
      <w:pPr>
        <w:pStyle w:val="FootnoteText"/>
        <w:ind w:left="720" w:hanging="720"/>
        <w:rPr>
          <w:sz w:val="24"/>
          <w:szCs w:val="24"/>
        </w:rPr>
      </w:pPr>
      <w:r w:rsidRPr="00A31852">
        <w:rPr>
          <w:rStyle w:val="FootnoteReference"/>
          <w:sz w:val="24"/>
          <w:szCs w:val="24"/>
        </w:rPr>
        <w:footnoteRef/>
      </w:r>
      <w:proofErr w:type="spellStart"/>
      <w:r w:rsidRPr="00A31852">
        <w:rPr>
          <w:sz w:val="24"/>
          <w:szCs w:val="24"/>
        </w:rPr>
        <w:t>Karlan</w:t>
      </w:r>
      <w:proofErr w:type="spellEnd"/>
      <w:r w:rsidRPr="00A31852">
        <w:rPr>
          <w:sz w:val="24"/>
          <w:szCs w:val="24"/>
        </w:rPr>
        <w:t xml:space="preserve">, Pamela S. “Undue Burdens and Potential Opportunities in Voting Rights and Abortion Law.” </w:t>
      </w:r>
      <w:r w:rsidRPr="002F7C59">
        <w:rPr>
          <w:i/>
          <w:sz w:val="24"/>
          <w:szCs w:val="24"/>
        </w:rPr>
        <w:t>Indiana Law Journal</w:t>
      </w:r>
      <w:r w:rsidRPr="00A31852">
        <w:rPr>
          <w:sz w:val="24"/>
          <w:szCs w:val="24"/>
        </w:rPr>
        <w:t>, vol. 93, no. 1, Winter 2018, pp. 139–157.</w:t>
      </w:r>
    </w:p>
  </w:footnote>
  <w:footnote w:id="17">
    <w:p w14:paraId="6330E27E" w14:textId="23D90219" w:rsidR="00BE79EF" w:rsidRPr="00C04675" w:rsidRDefault="00BE79EF" w:rsidP="00C04675">
      <w:pPr>
        <w:pStyle w:val="FootnoteText"/>
        <w:ind w:left="720" w:hanging="720"/>
        <w:rPr>
          <w:sz w:val="24"/>
          <w:szCs w:val="24"/>
        </w:rPr>
      </w:pPr>
      <w:r w:rsidRPr="00C04675">
        <w:rPr>
          <w:rStyle w:val="FootnoteReference"/>
          <w:sz w:val="24"/>
          <w:szCs w:val="24"/>
        </w:rPr>
        <w:footnoteRef/>
      </w:r>
      <w:r w:rsidRPr="00C04675">
        <w:rPr>
          <w:sz w:val="24"/>
          <w:szCs w:val="24"/>
        </w:rPr>
        <w:t xml:space="preserve"> </w:t>
      </w:r>
      <w:proofErr w:type="spellStart"/>
      <w:r w:rsidRPr="00C04675">
        <w:rPr>
          <w:sz w:val="24"/>
          <w:szCs w:val="24"/>
        </w:rPr>
        <w:t>Manza</w:t>
      </w:r>
      <w:proofErr w:type="spellEnd"/>
      <w:r w:rsidRPr="00C04675">
        <w:rPr>
          <w:sz w:val="24"/>
          <w:szCs w:val="24"/>
        </w:rPr>
        <w:t xml:space="preserve">, Jeff, et al. “Public Attitudes toward Felon Disenfranchisement in the United States.” </w:t>
      </w:r>
      <w:r w:rsidRPr="00C04675">
        <w:rPr>
          <w:i/>
          <w:sz w:val="24"/>
          <w:szCs w:val="24"/>
        </w:rPr>
        <w:t>Public Opinion Quarterly</w:t>
      </w:r>
      <w:r w:rsidRPr="00C04675">
        <w:rPr>
          <w:sz w:val="24"/>
          <w:szCs w:val="24"/>
        </w:rPr>
        <w:t>, vol. 68, no. 2, Summer 2004, pp. 275–286.</w:t>
      </w:r>
    </w:p>
  </w:footnote>
  <w:footnote w:id="18">
    <w:p w14:paraId="4C7BE050" w14:textId="2AC14608" w:rsidR="00BE79EF" w:rsidRPr="00C04675" w:rsidRDefault="00BE79EF" w:rsidP="00C04675">
      <w:pPr>
        <w:pStyle w:val="FootnoteText"/>
        <w:ind w:left="720" w:hanging="720"/>
        <w:rPr>
          <w:sz w:val="24"/>
          <w:szCs w:val="24"/>
        </w:rPr>
      </w:pPr>
      <w:r w:rsidRPr="00C04675">
        <w:rPr>
          <w:rStyle w:val="FootnoteReference"/>
          <w:sz w:val="24"/>
          <w:szCs w:val="24"/>
        </w:rPr>
        <w:footnoteRef/>
      </w:r>
      <w:r w:rsidRPr="00C04675">
        <w:rPr>
          <w:sz w:val="24"/>
          <w:szCs w:val="24"/>
        </w:rPr>
        <w:t xml:space="preserve"> </w:t>
      </w:r>
      <w:proofErr w:type="spellStart"/>
      <w:r w:rsidRPr="00C04675">
        <w:rPr>
          <w:sz w:val="24"/>
          <w:szCs w:val="24"/>
        </w:rPr>
        <w:t>Uggen</w:t>
      </w:r>
      <w:proofErr w:type="spellEnd"/>
      <w:r w:rsidRPr="00C04675">
        <w:rPr>
          <w:sz w:val="24"/>
          <w:szCs w:val="24"/>
        </w:rPr>
        <w:t xml:space="preserve">, Christopher. “What Americans Believe about Voting Rights for People Convicted of Felony Crimes.” </w:t>
      </w:r>
      <w:r w:rsidRPr="00C04675">
        <w:rPr>
          <w:i/>
          <w:sz w:val="24"/>
          <w:szCs w:val="24"/>
        </w:rPr>
        <w:t>Scholars Strategy Network</w:t>
      </w:r>
      <w:r w:rsidRPr="00C04675">
        <w:rPr>
          <w:sz w:val="24"/>
          <w:szCs w:val="24"/>
        </w:rPr>
        <w:t>, 1 Apr. 2012.</w:t>
      </w:r>
    </w:p>
  </w:footnote>
  <w:footnote w:id="19">
    <w:p w14:paraId="455EAB2F" w14:textId="7B009013" w:rsidR="00BE79EF" w:rsidRDefault="00BE79EF" w:rsidP="00D971D8">
      <w:pPr>
        <w:pStyle w:val="FootnoteText"/>
        <w:ind w:left="720" w:hanging="720"/>
      </w:pPr>
      <w:r w:rsidRPr="00D971D8">
        <w:rPr>
          <w:rStyle w:val="FootnoteReference"/>
          <w:sz w:val="24"/>
          <w:szCs w:val="24"/>
        </w:rPr>
        <w:footnoteRef/>
      </w:r>
      <w:r>
        <w:t xml:space="preserve">  </w:t>
      </w:r>
      <w:r w:rsidRPr="00D971D8">
        <w:rPr>
          <w:sz w:val="24"/>
          <w:szCs w:val="24"/>
        </w:rPr>
        <w:t xml:space="preserve">“Geography Atlas: Regions.” </w:t>
      </w:r>
      <w:r w:rsidRPr="00D971D8">
        <w:rPr>
          <w:i/>
          <w:sz w:val="24"/>
          <w:szCs w:val="24"/>
        </w:rPr>
        <w:t>United States Census Bureau</w:t>
      </w:r>
      <w:r w:rsidRPr="00D971D8">
        <w:rPr>
          <w:sz w:val="24"/>
          <w:szCs w:val="24"/>
        </w:rPr>
        <w:t>, 28 July 2015.</w:t>
      </w:r>
    </w:p>
  </w:footnote>
  <w:footnote w:id="20">
    <w:p w14:paraId="3E469513" w14:textId="1D55B58D" w:rsidR="00BE79EF" w:rsidRPr="00C47F0E" w:rsidRDefault="00BE79EF" w:rsidP="00C47F0E">
      <w:pPr>
        <w:ind w:left="720" w:hanging="720"/>
      </w:pPr>
      <w:r w:rsidRPr="00C47F0E">
        <w:rPr>
          <w:rStyle w:val="FootnoteReference"/>
        </w:rPr>
        <w:footnoteRef/>
      </w:r>
      <w:r w:rsidRPr="00C47F0E">
        <w:t xml:space="preserve"> “Criminal Disenfranchisement Laws Across the United States.” </w:t>
      </w:r>
      <w:r w:rsidRPr="00C47F0E">
        <w:rPr>
          <w:i/>
        </w:rPr>
        <w:t>Brennan Center for Justice</w:t>
      </w:r>
      <w:r w:rsidRPr="00C47F0E">
        <w:t>, 7 Nov. 2018.</w:t>
      </w:r>
    </w:p>
  </w:footnote>
  <w:footnote w:id="21">
    <w:p w14:paraId="0FAA1C2C" w14:textId="77777777" w:rsidR="00BE79EF" w:rsidRPr="00623F66" w:rsidRDefault="00BE79EF" w:rsidP="00D853CE">
      <w:pPr>
        <w:pStyle w:val="FootnoteText"/>
        <w:ind w:left="720" w:hanging="720"/>
        <w:rPr>
          <w:sz w:val="24"/>
          <w:szCs w:val="24"/>
        </w:rPr>
      </w:pPr>
      <w:r w:rsidRPr="00623F66">
        <w:rPr>
          <w:rStyle w:val="FootnoteReference"/>
          <w:sz w:val="24"/>
          <w:szCs w:val="24"/>
        </w:rPr>
        <w:footnoteRef/>
      </w:r>
      <w:r w:rsidRPr="00623F66">
        <w:rPr>
          <w:sz w:val="24"/>
          <w:szCs w:val="24"/>
        </w:rPr>
        <w:t xml:space="preserve"> Powell, Lauren Latterell. “Concealed Motives: Rethinking Fourteenth Amendment and Voting Rights Challenges to Felon Disenfranchisement.” </w:t>
      </w:r>
      <w:r w:rsidRPr="00623F66">
        <w:rPr>
          <w:i/>
          <w:sz w:val="24"/>
          <w:szCs w:val="24"/>
        </w:rPr>
        <w:t>Michigan Journal of Race &amp; Law</w:t>
      </w:r>
      <w:r w:rsidRPr="00623F66">
        <w:rPr>
          <w:sz w:val="24"/>
          <w:szCs w:val="24"/>
        </w:rPr>
        <w:t>, vol. 22, no. 2, Spring 2017, pp. 383-410.</w:t>
      </w:r>
    </w:p>
  </w:footnote>
  <w:footnote w:id="22">
    <w:p w14:paraId="0C076D20" w14:textId="77777777" w:rsidR="00BE79EF" w:rsidRPr="00FC58AF" w:rsidRDefault="00BE79EF" w:rsidP="00D853CE">
      <w:pPr>
        <w:pStyle w:val="FootnoteText"/>
        <w:ind w:left="720" w:hanging="720"/>
        <w:rPr>
          <w:sz w:val="24"/>
          <w:szCs w:val="24"/>
        </w:rPr>
      </w:pPr>
      <w:r w:rsidRPr="00FC58AF">
        <w:rPr>
          <w:rStyle w:val="FootnoteReference"/>
          <w:sz w:val="24"/>
          <w:szCs w:val="24"/>
        </w:rPr>
        <w:footnoteRef/>
      </w:r>
      <w:r w:rsidRPr="00FC58AF">
        <w:rPr>
          <w:sz w:val="24"/>
          <w:szCs w:val="24"/>
        </w:rPr>
        <w:t xml:space="preserve"> </w:t>
      </w:r>
      <w:proofErr w:type="spellStart"/>
      <w:r w:rsidRPr="00FC58AF">
        <w:rPr>
          <w:sz w:val="24"/>
          <w:szCs w:val="24"/>
        </w:rPr>
        <w:t>Pasek</w:t>
      </w:r>
      <w:proofErr w:type="spellEnd"/>
      <w:r w:rsidRPr="00FC58AF">
        <w:rPr>
          <w:sz w:val="24"/>
          <w:szCs w:val="24"/>
        </w:rPr>
        <w:t xml:space="preserve">, Josh, et al. “The Impact </w:t>
      </w:r>
      <w:r>
        <w:rPr>
          <w:sz w:val="24"/>
          <w:szCs w:val="24"/>
        </w:rPr>
        <w:t>o</w:t>
      </w:r>
      <w:r w:rsidRPr="00FC58AF">
        <w:rPr>
          <w:sz w:val="24"/>
          <w:szCs w:val="24"/>
        </w:rPr>
        <w:t xml:space="preserve">f Anti-Black Racism </w:t>
      </w:r>
      <w:r>
        <w:rPr>
          <w:sz w:val="24"/>
          <w:szCs w:val="24"/>
        </w:rPr>
        <w:t>o</w:t>
      </w:r>
      <w:r w:rsidRPr="00FC58AF">
        <w:rPr>
          <w:sz w:val="24"/>
          <w:szCs w:val="24"/>
        </w:rPr>
        <w:t xml:space="preserve">n Approval </w:t>
      </w:r>
      <w:r>
        <w:rPr>
          <w:sz w:val="24"/>
          <w:szCs w:val="24"/>
        </w:rPr>
        <w:t>o</w:t>
      </w:r>
      <w:r w:rsidRPr="00FC58AF">
        <w:rPr>
          <w:sz w:val="24"/>
          <w:szCs w:val="24"/>
        </w:rPr>
        <w:t xml:space="preserve">f Barack Obama’s Job Performance </w:t>
      </w:r>
      <w:r>
        <w:rPr>
          <w:sz w:val="24"/>
          <w:szCs w:val="24"/>
        </w:rPr>
        <w:t>a</w:t>
      </w:r>
      <w:r w:rsidRPr="00FC58AF">
        <w:rPr>
          <w:sz w:val="24"/>
          <w:szCs w:val="24"/>
        </w:rPr>
        <w:t xml:space="preserve">nd </w:t>
      </w:r>
      <w:r>
        <w:rPr>
          <w:sz w:val="24"/>
          <w:szCs w:val="24"/>
        </w:rPr>
        <w:t>o</w:t>
      </w:r>
      <w:r w:rsidRPr="00FC58AF">
        <w:rPr>
          <w:sz w:val="24"/>
          <w:szCs w:val="24"/>
        </w:rPr>
        <w:t xml:space="preserve">n Voting </w:t>
      </w:r>
      <w:r>
        <w:rPr>
          <w:sz w:val="24"/>
          <w:szCs w:val="24"/>
        </w:rPr>
        <w:t>i</w:t>
      </w:r>
      <w:r w:rsidRPr="00FC58AF">
        <w:rPr>
          <w:sz w:val="24"/>
          <w:szCs w:val="24"/>
        </w:rPr>
        <w:t xml:space="preserve">n </w:t>
      </w:r>
      <w:r>
        <w:rPr>
          <w:sz w:val="24"/>
          <w:szCs w:val="24"/>
        </w:rPr>
        <w:t>t</w:t>
      </w:r>
      <w:r w:rsidRPr="00FC58AF">
        <w:rPr>
          <w:sz w:val="24"/>
          <w:szCs w:val="24"/>
        </w:rPr>
        <w:t>he 2012 Presidential Election.” Unpublished manuscript, Stanford University. 2012.</w:t>
      </w:r>
    </w:p>
  </w:footnote>
  <w:footnote w:id="23">
    <w:p w14:paraId="13F20D64" w14:textId="77777777" w:rsidR="00BE79EF" w:rsidRPr="00D519E5" w:rsidRDefault="00BE79EF" w:rsidP="00D853CE">
      <w:pPr>
        <w:pStyle w:val="FootnoteText"/>
        <w:ind w:left="720" w:hanging="720"/>
        <w:rPr>
          <w:sz w:val="24"/>
          <w:szCs w:val="24"/>
        </w:rPr>
      </w:pPr>
      <w:r w:rsidRPr="00D519E5">
        <w:rPr>
          <w:rStyle w:val="FootnoteReference"/>
          <w:sz w:val="24"/>
          <w:szCs w:val="24"/>
        </w:rPr>
        <w:footnoteRef/>
      </w:r>
      <w:r w:rsidRPr="00D519E5">
        <w:rPr>
          <w:sz w:val="24"/>
          <w:szCs w:val="24"/>
        </w:rPr>
        <w:t xml:space="preserve"> Stevens-Davidowitz, Seth. “The Cost of Racial Animus on a Black Candidate: Evidence Using Google Search Data.” </w:t>
      </w:r>
      <w:r w:rsidRPr="00D519E5">
        <w:rPr>
          <w:i/>
          <w:sz w:val="24"/>
          <w:szCs w:val="24"/>
        </w:rPr>
        <w:t>Journal of Public Economics</w:t>
      </w:r>
      <w:r w:rsidRPr="00D519E5">
        <w:rPr>
          <w:sz w:val="24"/>
          <w:szCs w:val="24"/>
        </w:rPr>
        <w:t>, 2 June 2014.</w:t>
      </w:r>
    </w:p>
  </w:footnote>
  <w:footnote w:id="24">
    <w:p w14:paraId="2ED2118F" w14:textId="77777777" w:rsidR="002D58F6" w:rsidRPr="00D971D8" w:rsidRDefault="002D58F6" w:rsidP="002D58F6">
      <w:pPr>
        <w:pStyle w:val="FootnoteText"/>
        <w:ind w:left="720" w:hanging="720"/>
        <w:rPr>
          <w:sz w:val="24"/>
          <w:szCs w:val="24"/>
        </w:rPr>
      </w:pPr>
      <w:r w:rsidRPr="00D971D8">
        <w:rPr>
          <w:rStyle w:val="FootnoteReference"/>
          <w:sz w:val="24"/>
          <w:szCs w:val="24"/>
        </w:rPr>
        <w:footnoteRef/>
      </w:r>
      <w:r w:rsidRPr="00D971D8">
        <w:rPr>
          <w:sz w:val="24"/>
          <w:szCs w:val="24"/>
        </w:rPr>
        <w:t xml:space="preserve"> Beck, Allen J. “Correctional Populations in the United States, 1998.” </w:t>
      </w:r>
      <w:r w:rsidRPr="00D971D8">
        <w:rPr>
          <w:i/>
          <w:sz w:val="24"/>
          <w:szCs w:val="24"/>
        </w:rPr>
        <w:t xml:space="preserve">Bureau of Justice Statistics (BJS), </w:t>
      </w:r>
      <w:r w:rsidRPr="00D971D8">
        <w:rPr>
          <w:sz w:val="24"/>
          <w:szCs w:val="24"/>
        </w:rPr>
        <w:t>U.S. Department of Justice, 1 Sept. 2002.</w:t>
      </w:r>
    </w:p>
  </w:footnote>
  <w:footnote w:id="25">
    <w:p w14:paraId="1EC584ED" w14:textId="77777777" w:rsidR="00BE79EF" w:rsidRPr="00D971D8" w:rsidRDefault="00BE79EF" w:rsidP="00D853CE">
      <w:pPr>
        <w:ind w:left="720" w:hanging="720"/>
        <w:rPr>
          <w:rFonts w:eastAsia="Times New Roman"/>
          <w:shd w:val="clear" w:color="auto" w:fill="auto"/>
        </w:rPr>
      </w:pPr>
      <w:r w:rsidRPr="00D971D8">
        <w:rPr>
          <w:rStyle w:val="FootnoteReference"/>
        </w:rPr>
        <w:footnoteRef/>
      </w:r>
      <w:r w:rsidRPr="00D971D8">
        <w:t xml:space="preserve"> Frey, William H. and Cheryl L. First. “Investigating Change in American Society: Exploring Social Trends with U.S. Census Data and StudentChip.” </w:t>
      </w:r>
      <w:r w:rsidRPr="00D971D8">
        <w:rPr>
          <w:i/>
        </w:rPr>
        <w:t>Wadsworth Publishing</w:t>
      </w:r>
      <w:r w:rsidRPr="00D971D8">
        <w:t>, 1997.</w:t>
      </w:r>
    </w:p>
  </w:footnote>
  <w:footnote w:id="26">
    <w:p w14:paraId="1A89371D" w14:textId="77777777" w:rsidR="00BE79EF" w:rsidRPr="00356109" w:rsidRDefault="00BE79EF" w:rsidP="00D853CE">
      <w:pPr>
        <w:pStyle w:val="FootnoteText"/>
        <w:ind w:left="720" w:hanging="720"/>
        <w:rPr>
          <w:sz w:val="24"/>
          <w:szCs w:val="24"/>
        </w:rPr>
      </w:pPr>
      <w:r w:rsidRPr="00356109">
        <w:rPr>
          <w:rStyle w:val="FootnoteReference"/>
          <w:sz w:val="24"/>
          <w:szCs w:val="24"/>
        </w:rPr>
        <w:footnoteRef/>
      </w:r>
      <w:r w:rsidRPr="00356109">
        <w:rPr>
          <w:sz w:val="24"/>
          <w:szCs w:val="24"/>
        </w:rPr>
        <w:t xml:space="preserve"> </w:t>
      </w:r>
      <w:proofErr w:type="spellStart"/>
      <w:r w:rsidRPr="00356109">
        <w:rPr>
          <w:sz w:val="24"/>
          <w:szCs w:val="24"/>
        </w:rPr>
        <w:t>Sakala</w:t>
      </w:r>
      <w:proofErr w:type="spellEnd"/>
      <w:r w:rsidRPr="00356109">
        <w:rPr>
          <w:sz w:val="24"/>
          <w:szCs w:val="24"/>
        </w:rPr>
        <w:t xml:space="preserve">, Leah. “Breaking Down Mass Incarceration in the 2010 Census: State-by-State Incarceration Rates by Race/Ethnicity.” </w:t>
      </w:r>
      <w:r w:rsidRPr="00356109">
        <w:rPr>
          <w:i/>
          <w:sz w:val="24"/>
          <w:szCs w:val="24"/>
        </w:rPr>
        <w:t>Prison Policy Initiative</w:t>
      </w:r>
      <w:r w:rsidRPr="00356109">
        <w:rPr>
          <w:sz w:val="24"/>
          <w:szCs w:val="24"/>
        </w:rPr>
        <w:t>, 28 May 2014.</w:t>
      </w:r>
    </w:p>
  </w:footnote>
  <w:footnote w:id="27">
    <w:p w14:paraId="319BD1AA" w14:textId="77777777" w:rsidR="002D58F6" w:rsidRDefault="002D58F6" w:rsidP="002D58F6">
      <w:pPr>
        <w:pStyle w:val="FootnoteText"/>
        <w:ind w:left="720" w:hanging="720"/>
      </w:pPr>
      <w:r w:rsidRPr="00D971D8">
        <w:rPr>
          <w:rStyle w:val="FootnoteReference"/>
          <w:sz w:val="24"/>
          <w:szCs w:val="24"/>
        </w:rPr>
        <w:footnoteRef/>
      </w:r>
      <w:r>
        <w:t xml:space="preserve"> </w:t>
      </w:r>
      <w:r w:rsidRPr="00875C07">
        <w:rPr>
          <w:sz w:val="24"/>
          <w:szCs w:val="24"/>
        </w:rPr>
        <w:t xml:space="preserve">Beck, Allen J. “Correctional Populations in the United States, 1998.” </w:t>
      </w:r>
      <w:r w:rsidRPr="00875C07">
        <w:rPr>
          <w:i/>
          <w:sz w:val="24"/>
          <w:szCs w:val="24"/>
        </w:rPr>
        <w:t xml:space="preserve">Bureau of Justice Statistics (BJS), </w:t>
      </w:r>
      <w:r w:rsidRPr="00875C07">
        <w:rPr>
          <w:sz w:val="24"/>
          <w:szCs w:val="24"/>
        </w:rPr>
        <w:t>U.S. Department of Justice, 1 Sept. 2002.</w:t>
      </w:r>
    </w:p>
  </w:footnote>
  <w:footnote w:id="28">
    <w:p w14:paraId="28BBFD75" w14:textId="77777777" w:rsidR="00BE79EF" w:rsidRDefault="00BE79EF" w:rsidP="00D853CE">
      <w:pPr>
        <w:pStyle w:val="FootnoteText"/>
        <w:ind w:left="720" w:hanging="720"/>
      </w:pPr>
      <w:r w:rsidRPr="002C0D4C">
        <w:rPr>
          <w:rStyle w:val="FootnoteReference"/>
          <w:sz w:val="24"/>
          <w:szCs w:val="24"/>
        </w:rPr>
        <w:footnoteRef/>
      </w:r>
      <w:r w:rsidRPr="002C0D4C">
        <w:rPr>
          <w:sz w:val="24"/>
          <w:szCs w:val="24"/>
        </w:rPr>
        <w:t xml:space="preserve"> </w:t>
      </w:r>
      <w:proofErr w:type="spellStart"/>
      <w:r w:rsidRPr="002C0D4C">
        <w:rPr>
          <w:sz w:val="24"/>
          <w:szCs w:val="24"/>
        </w:rPr>
        <w:t>Sakala</w:t>
      </w:r>
      <w:proofErr w:type="spellEnd"/>
      <w:r w:rsidRPr="00356109">
        <w:rPr>
          <w:sz w:val="24"/>
          <w:szCs w:val="24"/>
        </w:rPr>
        <w:t xml:space="preserve">, Leah. “Breaking Down Mass Incarceration in the 2010 Census: State-by-State Incarceration Rates by Race/Ethnicity.” </w:t>
      </w:r>
      <w:r w:rsidRPr="00356109">
        <w:rPr>
          <w:i/>
          <w:sz w:val="24"/>
          <w:szCs w:val="24"/>
        </w:rPr>
        <w:t>Prison Policy Initiative</w:t>
      </w:r>
      <w:r w:rsidRPr="00356109">
        <w:rPr>
          <w:sz w:val="24"/>
          <w:szCs w:val="24"/>
        </w:rPr>
        <w:t>, 28 May 2014.</w:t>
      </w:r>
    </w:p>
  </w:footnote>
  <w:footnote w:id="29">
    <w:p w14:paraId="4EF72CB2" w14:textId="77777777" w:rsidR="00BE79EF" w:rsidRDefault="00BE79EF" w:rsidP="00D853CE">
      <w:pPr>
        <w:pStyle w:val="FootnoteText"/>
        <w:ind w:left="720" w:hanging="720"/>
      </w:pPr>
      <w:r w:rsidRPr="002C0D4C">
        <w:rPr>
          <w:rStyle w:val="FootnoteReference"/>
          <w:sz w:val="24"/>
          <w:szCs w:val="24"/>
        </w:rPr>
        <w:footnoteRef/>
      </w:r>
      <w:r w:rsidRPr="002C0D4C">
        <w:rPr>
          <w:sz w:val="24"/>
          <w:szCs w:val="24"/>
        </w:rPr>
        <w:t xml:space="preserve"> </w:t>
      </w:r>
      <w:proofErr w:type="spellStart"/>
      <w:r w:rsidRPr="002C0D4C">
        <w:rPr>
          <w:sz w:val="24"/>
          <w:szCs w:val="24"/>
        </w:rPr>
        <w:t>Sakala</w:t>
      </w:r>
      <w:proofErr w:type="spellEnd"/>
      <w:r w:rsidRPr="00356109">
        <w:rPr>
          <w:sz w:val="24"/>
          <w:szCs w:val="24"/>
        </w:rPr>
        <w:t xml:space="preserve">, Leah. “Breaking Down Mass Incarceration in the 2010 Census: State-by-State Incarceration Rates by Race/Ethnicity.” </w:t>
      </w:r>
      <w:r w:rsidRPr="00356109">
        <w:rPr>
          <w:i/>
          <w:sz w:val="24"/>
          <w:szCs w:val="24"/>
        </w:rPr>
        <w:t>Prison Policy Initiative</w:t>
      </w:r>
      <w:r w:rsidRPr="00356109">
        <w:rPr>
          <w:sz w:val="24"/>
          <w:szCs w:val="24"/>
        </w:rPr>
        <w:t>, 28 May 2014.</w:t>
      </w:r>
    </w:p>
  </w:footnote>
  <w:footnote w:id="30">
    <w:p w14:paraId="3BAAC13A" w14:textId="77777777" w:rsidR="002D58F6" w:rsidRPr="00B11957" w:rsidRDefault="002D58F6" w:rsidP="002D58F6">
      <w:pPr>
        <w:pStyle w:val="FootnoteText"/>
        <w:ind w:left="720" w:hanging="720"/>
        <w:rPr>
          <w:sz w:val="24"/>
          <w:szCs w:val="24"/>
        </w:rPr>
      </w:pPr>
      <w:r w:rsidRPr="00B11957">
        <w:rPr>
          <w:rStyle w:val="FootnoteReference"/>
          <w:sz w:val="24"/>
          <w:szCs w:val="24"/>
        </w:rPr>
        <w:footnoteRef/>
      </w:r>
      <w:r w:rsidRPr="00B11957">
        <w:rPr>
          <w:sz w:val="24"/>
          <w:szCs w:val="24"/>
        </w:rPr>
        <w:t xml:space="preserve"> Beck, Allen J. “Correctional Populations in the United States, 1998.” </w:t>
      </w:r>
      <w:r w:rsidRPr="00B11957">
        <w:rPr>
          <w:i/>
          <w:sz w:val="24"/>
          <w:szCs w:val="24"/>
        </w:rPr>
        <w:t xml:space="preserve">Bureau of Justice Statistics (BJS), </w:t>
      </w:r>
      <w:r w:rsidRPr="00B11957">
        <w:rPr>
          <w:sz w:val="24"/>
          <w:szCs w:val="24"/>
        </w:rPr>
        <w:t>U.S. Department of Justice, 1 Sept. 2002.</w:t>
      </w:r>
    </w:p>
  </w:footnote>
  <w:footnote w:id="31">
    <w:p w14:paraId="28C77FB0" w14:textId="77777777" w:rsidR="00BE79EF" w:rsidRPr="001446ED" w:rsidRDefault="00BE79EF" w:rsidP="00D853CE">
      <w:pPr>
        <w:pStyle w:val="FootnoteText"/>
        <w:ind w:left="720" w:hanging="720"/>
        <w:rPr>
          <w:sz w:val="24"/>
          <w:szCs w:val="24"/>
        </w:rPr>
      </w:pPr>
      <w:r w:rsidRPr="001446ED">
        <w:rPr>
          <w:rStyle w:val="FootnoteReference"/>
          <w:sz w:val="24"/>
          <w:szCs w:val="24"/>
        </w:rPr>
        <w:footnoteRef/>
      </w:r>
      <w:r w:rsidRPr="001446ED">
        <w:rPr>
          <w:sz w:val="24"/>
          <w:szCs w:val="24"/>
        </w:rPr>
        <w:t xml:space="preserve"> </w:t>
      </w:r>
      <w:proofErr w:type="spellStart"/>
      <w:r w:rsidRPr="002C0D4C">
        <w:rPr>
          <w:sz w:val="24"/>
          <w:szCs w:val="24"/>
        </w:rPr>
        <w:t>Sakala</w:t>
      </w:r>
      <w:proofErr w:type="spellEnd"/>
      <w:r w:rsidRPr="00356109">
        <w:rPr>
          <w:sz w:val="24"/>
          <w:szCs w:val="24"/>
        </w:rPr>
        <w:t xml:space="preserve">, Leah. “Breaking Down Mass Incarceration in the 2010 Census: State-by-State Incarceration Rates by Race/Ethnicity.” </w:t>
      </w:r>
      <w:r w:rsidRPr="00356109">
        <w:rPr>
          <w:i/>
          <w:sz w:val="24"/>
          <w:szCs w:val="24"/>
        </w:rPr>
        <w:t>Prison Policy Initiative</w:t>
      </w:r>
      <w:r w:rsidRPr="00356109">
        <w:rPr>
          <w:sz w:val="24"/>
          <w:szCs w:val="24"/>
        </w:rPr>
        <w:t>, 28 May 2014.</w:t>
      </w:r>
    </w:p>
  </w:footnote>
  <w:footnote w:id="32">
    <w:p w14:paraId="0353D492" w14:textId="77777777" w:rsidR="002D58F6" w:rsidRPr="001675B3" w:rsidRDefault="002D58F6" w:rsidP="002D58F6">
      <w:pPr>
        <w:pStyle w:val="FootnoteText"/>
        <w:ind w:left="720" w:hanging="720"/>
        <w:rPr>
          <w:sz w:val="24"/>
          <w:szCs w:val="24"/>
        </w:rPr>
      </w:pPr>
      <w:r w:rsidRPr="001675B3">
        <w:rPr>
          <w:rStyle w:val="FootnoteReference"/>
          <w:sz w:val="24"/>
          <w:szCs w:val="24"/>
        </w:rPr>
        <w:footnoteRef/>
      </w:r>
      <w:r w:rsidRPr="001675B3">
        <w:rPr>
          <w:sz w:val="24"/>
          <w:szCs w:val="24"/>
        </w:rPr>
        <w:t xml:space="preserve"> Beck, Allen J. “Correctional Populations in the United States, 1998.” </w:t>
      </w:r>
      <w:r w:rsidRPr="001675B3">
        <w:rPr>
          <w:i/>
          <w:sz w:val="24"/>
          <w:szCs w:val="24"/>
        </w:rPr>
        <w:t xml:space="preserve">Bureau of Justice Statistics (BJS), </w:t>
      </w:r>
      <w:r w:rsidRPr="001675B3">
        <w:rPr>
          <w:sz w:val="24"/>
          <w:szCs w:val="24"/>
        </w:rPr>
        <w:t>U.S. Department of Justice, 1 Sept. 2002.</w:t>
      </w:r>
    </w:p>
  </w:footnote>
  <w:footnote w:id="33">
    <w:p w14:paraId="5791239F" w14:textId="77777777" w:rsidR="00BE79EF" w:rsidRPr="00142F68" w:rsidRDefault="00BE79EF" w:rsidP="00D853CE">
      <w:pPr>
        <w:pStyle w:val="FootnoteText"/>
        <w:ind w:left="720" w:hanging="720"/>
        <w:rPr>
          <w:sz w:val="24"/>
          <w:szCs w:val="24"/>
        </w:rPr>
      </w:pPr>
      <w:r w:rsidRPr="00142F68">
        <w:rPr>
          <w:rStyle w:val="FootnoteReference"/>
          <w:sz w:val="24"/>
          <w:szCs w:val="24"/>
        </w:rPr>
        <w:footnoteRef/>
      </w:r>
      <w:r w:rsidRPr="00142F68">
        <w:rPr>
          <w:sz w:val="24"/>
          <w:szCs w:val="24"/>
        </w:rPr>
        <w:t xml:space="preserve"> </w:t>
      </w:r>
      <w:proofErr w:type="spellStart"/>
      <w:r w:rsidRPr="00142F68">
        <w:rPr>
          <w:sz w:val="24"/>
          <w:szCs w:val="24"/>
        </w:rPr>
        <w:t>Sakala</w:t>
      </w:r>
      <w:proofErr w:type="spellEnd"/>
      <w:r w:rsidRPr="00142F68">
        <w:rPr>
          <w:sz w:val="24"/>
          <w:szCs w:val="24"/>
        </w:rPr>
        <w:t xml:space="preserve">, Leah. “Breaking Down Mass Incarceration in the 2010 Census: State-by-State Incarceration Rates by Race/Ethnicity.” </w:t>
      </w:r>
      <w:r w:rsidRPr="00142F68">
        <w:rPr>
          <w:i/>
          <w:sz w:val="24"/>
          <w:szCs w:val="24"/>
        </w:rPr>
        <w:t>Prison Policy Initiative</w:t>
      </w:r>
      <w:r w:rsidRPr="00142F68">
        <w:rPr>
          <w:sz w:val="24"/>
          <w:szCs w:val="24"/>
        </w:rPr>
        <w:t>, 28 May 2014.</w:t>
      </w:r>
    </w:p>
  </w:footnote>
  <w:footnote w:id="34">
    <w:p w14:paraId="3B1EC3C0" w14:textId="6A6AF826" w:rsidR="00C148A7" w:rsidRPr="006B5EE7" w:rsidRDefault="00C148A7" w:rsidP="006B5EE7">
      <w:pPr>
        <w:pStyle w:val="FootnoteText"/>
        <w:ind w:left="720" w:hanging="720"/>
        <w:rPr>
          <w:sz w:val="24"/>
          <w:szCs w:val="24"/>
        </w:rPr>
      </w:pPr>
      <w:r w:rsidRPr="006B5EE7">
        <w:rPr>
          <w:rStyle w:val="FootnoteReference"/>
          <w:sz w:val="24"/>
          <w:szCs w:val="24"/>
        </w:rPr>
        <w:footnoteRef/>
      </w:r>
      <w:r w:rsidRPr="006B5EE7">
        <w:rPr>
          <w:sz w:val="24"/>
          <w:szCs w:val="24"/>
        </w:rPr>
        <w:t xml:space="preserve"> “Wide Gender Gap, Growing Educational Divide in Voters’ Party Iden</w:t>
      </w:r>
      <w:r w:rsidR="006B5EE7" w:rsidRPr="006B5EE7">
        <w:rPr>
          <w:sz w:val="24"/>
          <w:szCs w:val="24"/>
        </w:rPr>
        <w:t xml:space="preserve">tification.” </w:t>
      </w:r>
      <w:r w:rsidR="006B5EE7" w:rsidRPr="006B5EE7">
        <w:rPr>
          <w:i/>
          <w:sz w:val="24"/>
          <w:szCs w:val="24"/>
        </w:rPr>
        <w:t>Pew Research Center</w:t>
      </w:r>
      <w:r w:rsidR="006B5EE7" w:rsidRPr="006B5EE7">
        <w:rPr>
          <w:sz w:val="24"/>
          <w:szCs w:val="24"/>
        </w:rPr>
        <w:t xml:space="preserve">, </w:t>
      </w:r>
      <w:proofErr w:type="gramStart"/>
      <w:r w:rsidR="006B5EE7" w:rsidRPr="006B5EE7">
        <w:rPr>
          <w:sz w:val="24"/>
          <w:szCs w:val="24"/>
        </w:rPr>
        <w:t>March,</w:t>
      </w:r>
      <w:proofErr w:type="gramEnd"/>
      <w:r w:rsidR="006B5EE7" w:rsidRPr="006B5EE7">
        <w:rPr>
          <w:sz w:val="24"/>
          <w:szCs w:val="24"/>
        </w:rPr>
        <w:t xml:space="preserve"> 2018.</w:t>
      </w:r>
    </w:p>
    <w:p w14:paraId="1016F89C" w14:textId="24BEB2B5" w:rsidR="00C148A7" w:rsidRDefault="00C148A7">
      <w:pPr>
        <w:pStyle w:val="FootnoteText"/>
      </w:pPr>
    </w:p>
  </w:footnote>
  <w:footnote w:id="35">
    <w:p w14:paraId="40F33E0B" w14:textId="77777777" w:rsidR="002D58F6" w:rsidRPr="00142F68" w:rsidRDefault="002D58F6" w:rsidP="002D58F6">
      <w:pPr>
        <w:pStyle w:val="FootnoteText"/>
        <w:ind w:left="720" w:hanging="720"/>
        <w:rPr>
          <w:sz w:val="24"/>
          <w:szCs w:val="24"/>
        </w:rPr>
      </w:pPr>
      <w:r w:rsidRPr="00142F68">
        <w:rPr>
          <w:rStyle w:val="FootnoteReference"/>
          <w:sz w:val="24"/>
          <w:szCs w:val="24"/>
        </w:rPr>
        <w:footnoteRef/>
      </w:r>
      <w:r w:rsidRPr="00142F68">
        <w:rPr>
          <w:sz w:val="24"/>
          <w:szCs w:val="24"/>
        </w:rPr>
        <w:t xml:space="preserve"> Beck, Allen J. “Correctional Populations in the United States, 1998.” </w:t>
      </w:r>
      <w:r w:rsidRPr="00142F68">
        <w:rPr>
          <w:i/>
          <w:sz w:val="24"/>
          <w:szCs w:val="24"/>
        </w:rPr>
        <w:t xml:space="preserve">Bureau of Justice Statistics (BJS), </w:t>
      </w:r>
      <w:r w:rsidRPr="00142F68">
        <w:rPr>
          <w:sz w:val="24"/>
          <w:szCs w:val="24"/>
        </w:rPr>
        <w:t>U.S. Department of Justice, 1 Sept. 2002.</w:t>
      </w:r>
    </w:p>
  </w:footnote>
  <w:footnote w:id="36">
    <w:p w14:paraId="56CB63FE" w14:textId="0F9D44BE" w:rsidR="00BE79EF" w:rsidRDefault="00BE79EF" w:rsidP="00035410">
      <w:pPr>
        <w:ind w:left="720" w:hanging="720"/>
      </w:pPr>
      <w:r>
        <w:rPr>
          <w:rStyle w:val="FootnoteReference"/>
        </w:rPr>
        <w:footnoteRef/>
      </w:r>
      <w:r>
        <w:t xml:space="preserve"> </w:t>
      </w:r>
      <w:bookmarkStart w:id="3" w:name="OLE_LINK1"/>
      <w:proofErr w:type="spellStart"/>
      <w:r w:rsidRPr="00826E79">
        <w:t>Uggen</w:t>
      </w:r>
      <w:proofErr w:type="spellEnd"/>
      <w:r w:rsidRPr="00826E79">
        <w:t>, Christopher, Ryan Larson, and Sarah Shannon. “</w:t>
      </w:r>
      <w:r>
        <w:t>Six</w:t>
      </w:r>
      <w:r w:rsidRPr="00826E79">
        <w:t xml:space="preserve"> Million Lost Voters: State-Level Estimates of Felony Disenfranchisement, 2016.” </w:t>
      </w:r>
      <w:r w:rsidRPr="00826E79">
        <w:rPr>
          <w:i/>
        </w:rPr>
        <w:t>The Sentencing Project</w:t>
      </w:r>
      <w:r w:rsidRPr="00826E79">
        <w:t>, October 2016.</w:t>
      </w:r>
      <w:bookmarkEnd w:id="3"/>
    </w:p>
  </w:footnote>
  <w:footnote w:id="37">
    <w:p w14:paraId="7E5B63FB" w14:textId="24689B38" w:rsidR="00BE79EF" w:rsidRDefault="00BE79EF" w:rsidP="00035410">
      <w:pPr>
        <w:ind w:left="720" w:hanging="720"/>
      </w:pPr>
      <w:r>
        <w:rPr>
          <w:rStyle w:val="FootnoteReference"/>
        </w:rPr>
        <w:footnoteRef/>
      </w:r>
      <w:r>
        <w:t xml:space="preserve"> Id.</w:t>
      </w:r>
    </w:p>
  </w:footnote>
  <w:footnote w:id="38">
    <w:p w14:paraId="6F086350" w14:textId="44DE5C40" w:rsidR="00BE79EF" w:rsidRDefault="00BE79EF" w:rsidP="00AD4CE9">
      <w:pPr>
        <w:ind w:left="720" w:hanging="720"/>
      </w:pPr>
      <w:r>
        <w:rPr>
          <w:rStyle w:val="FootnoteReference"/>
        </w:rPr>
        <w:footnoteRef/>
      </w:r>
      <w:r>
        <w:t xml:space="preserve"> </w:t>
      </w:r>
      <w:proofErr w:type="spellStart"/>
      <w:r w:rsidRPr="00826E79">
        <w:t>Uggen</w:t>
      </w:r>
      <w:proofErr w:type="spellEnd"/>
      <w:r w:rsidRPr="00826E79">
        <w:t>, Christopher, Ryan Larson, and Sarah Shannon. “</w:t>
      </w:r>
      <w:r>
        <w:t>Six</w:t>
      </w:r>
      <w:r w:rsidRPr="00826E79">
        <w:t xml:space="preserve"> Million Lost Voters: State-Level Estimates of Felony Disenfranchisement, 2016.” </w:t>
      </w:r>
      <w:r w:rsidRPr="00826E79">
        <w:rPr>
          <w:i/>
        </w:rPr>
        <w:t>The Sentencing Project</w:t>
      </w:r>
      <w:r w:rsidRPr="00826E79">
        <w:t>, October 2016.</w:t>
      </w:r>
    </w:p>
  </w:footnote>
  <w:footnote w:id="39">
    <w:p w14:paraId="24DEEB4B" w14:textId="21ED3322" w:rsidR="00BE79EF" w:rsidRDefault="00BE79EF" w:rsidP="00AD4CE9">
      <w:pPr>
        <w:ind w:left="720" w:hanging="720"/>
      </w:pPr>
      <w:r>
        <w:rPr>
          <w:rStyle w:val="FootnoteReference"/>
        </w:rPr>
        <w:footnoteRef/>
      </w:r>
      <w:r>
        <w:t xml:space="preserve"> </w:t>
      </w:r>
      <w:proofErr w:type="spellStart"/>
      <w:r w:rsidRPr="00826E79">
        <w:t>Uggen</w:t>
      </w:r>
      <w:proofErr w:type="spellEnd"/>
      <w:r w:rsidRPr="00826E79">
        <w:t>, Christopher, Ryan Larson, and Sarah Shannon. “</w:t>
      </w:r>
      <w:r>
        <w:t>Six</w:t>
      </w:r>
      <w:r w:rsidRPr="00826E79">
        <w:t xml:space="preserve"> Million Lost Voters: State-Level Estimates of Felony Disenfranchisement, 2016.” </w:t>
      </w:r>
      <w:r w:rsidRPr="00826E79">
        <w:rPr>
          <w:i/>
        </w:rPr>
        <w:t>The Sentencing Project</w:t>
      </w:r>
      <w:r w:rsidRPr="00826E79">
        <w:t>, October 2016.</w:t>
      </w:r>
    </w:p>
  </w:footnote>
  <w:footnote w:id="40">
    <w:p w14:paraId="30E908B8" w14:textId="7D0E9501" w:rsidR="00BE79EF" w:rsidRDefault="00BE79EF" w:rsidP="009110F0">
      <w:pPr>
        <w:ind w:left="720" w:hanging="720"/>
      </w:pPr>
      <w:r>
        <w:rPr>
          <w:rStyle w:val="FootnoteReference"/>
        </w:rPr>
        <w:footnoteRef/>
      </w:r>
      <w:r>
        <w:t xml:space="preserve"> </w:t>
      </w:r>
      <w:proofErr w:type="spellStart"/>
      <w:r w:rsidRPr="00826E79">
        <w:t>Uggen</w:t>
      </w:r>
      <w:proofErr w:type="spellEnd"/>
      <w:r w:rsidRPr="00826E79">
        <w:t>, Christopher, Ryan Larson, and Sarah Shannon. “</w:t>
      </w:r>
      <w:r>
        <w:t>Six</w:t>
      </w:r>
      <w:r w:rsidRPr="00826E79">
        <w:t xml:space="preserve"> Million Lost Voters: State-Level Estimates of Felony Disenfranchisement, 2016.” </w:t>
      </w:r>
      <w:r w:rsidRPr="00826E79">
        <w:rPr>
          <w:i/>
        </w:rPr>
        <w:t>The Sentencing Project</w:t>
      </w:r>
      <w:r w:rsidRPr="00826E79">
        <w:t>, October 2016.</w:t>
      </w:r>
    </w:p>
  </w:footnote>
  <w:footnote w:id="41">
    <w:p w14:paraId="4B36D06B" w14:textId="53C6A8CE" w:rsidR="00BE79EF" w:rsidRPr="003142BE" w:rsidRDefault="00BE79EF" w:rsidP="003142BE">
      <w:pPr>
        <w:pStyle w:val="FootnoteText"/>
        <w:ind w:left="720" w:hanging="720"/>
        <w:rPr>
          <w:sz w:val="24"/>
          <w:szCs w:val="24"/>
        </w:rPr>
      </w:pPr>
      <w:r w:rsidRPr="003142BE">
        <w:rPr>
          <w:rStyle w:val="FootnoteReference"/>
          <w:sz w:val="24"/>
          <w:szCs w:val="24"/>
        </w:rPr>
        <w:footnoteRef/>
      </w:r>
      <w:r w:rsidRPr="003142BE">
        <w:rPr>
          <w:sz w:val="24"/>
          <w:szCs w:val="24"/>
        </w:rPr>
        <w:t xml:space="preserve"> 1901 Proceedings, Alabama Constitutional Convention. May 22, 1901. Montgomery, Alabama. </w:t>
      </w:r>
    </w:p>
  </w:footnote>
  <w:footnote w:id="42">
    <w:p w14:paraId="03D77BA7" w14:textId="253E0469" w:rsidR="00BE79EF" w:rsidRPr="003142BE" w:rsidRDefault="00BE79EF">
      <w:pPr>
        <w:pStyle w:val="FootnoteText"/>
        <w:rPr>
          <w:sz w:val="24"/>
          <w:szCs w:val="24"/>
        </w:rPr>
      </w:pPr>
      <w:r w:rsidRPr="003142BE">
        <w:rPr>
          <w:rStyle w:val="FootnoteReference"/>
          <w:sz w:val="24"/>
          <w:szCs w:val="24"/>
        </w:rPr>
        <w:footnoteRef/>
      </w:r>
      <w:r w:rsidRPr="003142BE">
        <w:rPr>
          <w:sz w:val="24"/>
          <w:szCs w:val="24"/>
        </w:rPr>
        <w:t xml:space="preserve"> Id.</w:t>
      </w:r>
    </w:p>
  </w:footnote>
  <w:footnote w:id="43">
    <w:p w14:paraId="4354E987" w14:textId="57147380" w:rsidR="00BE79EF" w:rsidRPr="007C2B36" w:rsidRDefault="00BE79EF" w:rsidP="007C2B36">
      <w:pPr>
        <w:pStyle w:val="FootnoteText"/>
        <w:ind w:left="720" w:hanging="720"/>
        <w:rPr>
          <w:sz w:val="24"/>
          <w:szCs w:val="24"/>
        </w:rPr>
      </w:pPr>
      <w:r w:rsidRPr="007C2B36">
        <w:rPr>
          <w:rStyle w:val="FootnoteReference"/>
          <w:sz w:val="24"/>
          <w:szCs w:val="24"/>
        </w:rPr>
        <w:footnoteRef/>
      </w:r>
      <w:r w:rsidRPr="007C2B36">
        <w:rPr>
          <w:sz w:val="24"/>
          <w:szCs w:val="24"/>
        </w:rPr>
        <w:t xml:space="preserve"> </w:t>
      </w:r>
      <w:r>
        <w:rPr>
          <w:sz w:val="24"/>
          <w:szCs w:val="24"/>
        </w:rPr>
        <w:t>Constitution of Alabama.</w:t>
      </w:r>
      <w:r w:rsidRPr="007C2B36">
        <w:rPr>
          <w:sz w:val="24"/>
          <w:szCs w:val="24"/>
        </w:rPr>
        <w:t xml:space="preserve"> </w:t>
      </w:r>
      <w:r>
        <w:rPr>
          <w:sz w:val="24"/>
          <w:szCs w:val="24"/>
        </w:rPr>
        <w:t>A</w:t>
      </w:r>
      <w:r w:rsidRPr="007C2B36">
        <w:rPr>
          <w:sz w:val="24"/>
          <w:szCs w:val="24"/>
        </w:rPr>
        <w:t>rt. V</w:t>
      </w:r>
      <w:r>
        <w:rPr>
          <w:sz w:val="24"/>
          <w:szCs w:val="24"/>
        </w:rPr>
        <w:t>III</w:t>
      </w:r>
      <w:r w:rsidRPr="007C2B36">
        <w:rPr>
          <w:sz w:val="24"/>
          <w:szCs w:val="24"/>
        </w:rPr>
        <w:t xml:space="preserve">, </w:t>
      </w:r>
      <w:r>
        <w:rPr>
          <w:sz w:val="24"/>
          <w:szCs w:val="24"/>
        </w:rPr>
        <w:t>Sec</w:t>
      </w:r>
      <w:r w:rsidRPr="007C2B36">
        <w:rPr>
          <w:sz w:val="24"/>
          <w:szCs w:val="24"/>
        </w:rPr>
        <w:t xml:space="preserve"> 1</w:t>
      </w:r>
      <w:r>
        <w:rPr>
          <w:sz w:val="24"/>
          <w:szCs w:val="24"/>
        </w:rPr>
        <w:t>82. (1901)</w:t>
      </w:r>
    </w:p>
  </w:footnote>
  <w:footnote w:id="44">
    <w:p w14:paraId="1CD6B4CE" w14:textId="33E93849" w:rsidR="00BE79EF" w:rsidRPr="00931436" w:rsidRDefault="00BE79EF">
      <w:pPr>
        <w:pStyle w:val="FootnoteText"/>
        <w:rPr>
          <w:sz w:val="24"/>
          <w:szCs w:val="24"/>
        </w:rPr>
      </w:pPr>
      <w:r w:rsidRPr="00931436">
        <w:rPr>
          <w:rStyle w:val="FootnoteReference"/>
          <w:sz w:val="24"/>
          <w:szCs w:val="24"/>
        </w:rPr>
        <w:footnoteRef/>
      </w:r>
      <w:r w:rsidRPr="00931436">
        <w:rPr>
          <w:sz w:val="24"/>
          <w:szCs w:val="24"/>
        </w:rPr>
        <w:t xml:space="preserve"> </w:t>
      </w:r>
      <w:r w:rsidRPr="00931436">
        <w:rPr>
          <w:sz w:val="24"/>
          <w:szCs w:val="24"/>
          <w:u w:val="single"/>
        </w:rPr>
        <w:t>Hunter v Underwood</w:t>
      </w:r>
      <w:r w:rsidRPr="00931436">
        <w:rPr>
          <w:sz w:val="24"/>
          <w:szCs w:val="24"/>
        </w:rPr>
        <w:t>, 471 U.S. 222 (1985)</w:t>
      </w:r>
    </w:p>
  </w:footnote>
  <w:footnote w:id="45">
    <w:p w14:paraId="5721F321" w14:textId="76A6B12C" w:rsidR="00BE79EF" w:rsidRPr="00C5698B" w:rsidRDefault="00BE79EF">
      <w:pPr>
        <w:pStyle w:val="FootnoteText"/>
        <w:rPr>
          <w:sz w:val="24"/>
          <w:szCs w:val="24"/>
        </w:rPr>
      </w:pPr>
      <w:r w:rsidRPr="00C5698B">
        <w:rPr>
          <w:rStyle w:val="FootnoteReference"/>
          <w:sz w:val="24"/>
          <w:szCs w:val="24"/>
        </w:rPr>
        <w:footnoteRef/>
      </w:r>
      <w:r w:rsidRPr="00C5698B">
        <w:rPr>
          <w:sz w:val="24"/>
          <w:szCs w:val="24"/>
        </w:rPr>
        <w:t xml:space="preserve"> Id.</w:t>
      </w:r>
    </w:p>
  </w:footnote>
  <w:footnote w:id="46">
    <w:p w14:paraId="2415B4C7" w14:textId="32D09CD3" w:rsidR="00426557" w:rsidRDefault="00426557">
      <w:pPr>
        <w:pStyle w:val="FootnoteText"/>
      </w:pPr>
      <w:r w:rsidRPr="00C148A7">
        <w:rPr>
          <w:rStyle w:val="FootnoteReference"/>
          <w:sz w:val="24"/>
          <w:szCs w:val="24"/>
        </w:rPr>
        <w:footnoteRef/>
      </w:r>
      <w:r w:rsidRPr="00C148A7">
        <w:rPr>
          <w:sz w:val="24"/>
          <w:szCs w:val="24"/>
        </w:rPr>
        <w:t xml:space="preserve"> C</w:t>
      </w:r>
      <w:r>
        <w:rPr>
          <w:sz w:val="24"/>
          <w:szCs w:val="24"/>
        </w:rPr>
        <w:t>onstitution of Alabama.</w:t>
      </w:r>
      <w:r w:rsidRPr="007C2B36">
        <w:rPr>
          <w:sz w:val="24"/>
          <w:szCs w:val="24"/>
        </w:rPr>
        <w:t xml:space="preserve"> </w:t>
      </w:r>
      <w:r>
        <w:rPr>
          <w:sz w:val="24"/>
          <w:szCs w:val="24"/>
        </w:rPr>
        <w:t>A</w:t>
      </w:r>
      <w:r w:rsidRPr="007C2B36">
        <w:rPr>
          <w:sz w:val="24"/>
          <w:szCs w:val="24"/>
        </w:rPr>
        <w:t>rt. V</w:t>
      </w:r>
      <w:r>
        <w:rPr>
          <w:sz w:val="24"/>
          <w:szCs w:val="24"/>
        </w:rPr>
        <w:t>III</w:t>
      </w:r>
      <w:r w:rsidRPr="007C2B36">
        <w:rPr>
          <w:sz w:val="24"/>
          <w:szCs w:val="24"/>
        </w:rPr>
        <w:t xml:space="preserve">, </w:t>
      </w:r>
      <w:r>
        <w:rPr>
          <w:sz w:val="24"/>
          <w:szCs w:val="24"/>
        </w:rPr>
        <w:t>Sec</w:t>
      </w:r>
      <w:r w:rsidRPr="007C2B36">
        <w:rPr>
          <w:sz w:val="24"/>
          <w:szCs w:val="24"/>
        </w:rPr>
        <w:t xml:space="preserve"> 1</w:t>
      </w:r>
      <w:r>
        <w:rPr>
          <w:sz w:val="24"/>
          <w:szCs w:val="24"/>
        </w:rPr>
        <w:t>78. (1901)</w:t>
      </w:r>
    </w:p>
  </w:footnote>
  <w:footnote w:id="47">
    <w:p w14:paraId="73D4D46D" w14:textId="0705E17A" w:rsidR="0066467D" w:rsidRDefault="0066467D">
      <w:pPr>
        <w:pStyle w:val="FootnoteText"/>
      </w:pPr>
      <w:r w:rsidRPr="0066467D">
        <w:rPr>
          <w:rStyle w:val="FootnoteReference"/>
          <w:sz w:val="24"/>
          <w:szCs w:val="24"/>
        </w:rPr>
        <w:footnoteRef/>
      </w:r>
      <w:r w:rsidRPr="0066467D">
        <w:rPr>
          <w:sz w:val="24"/>
          <w:szCs w:val="24"/>
        </w:rPr>
        <w:t xml:space="preserve"> </w:t>
      </w:r>
      <w:r w:rsidRPr="0066467D">
        <w:rPr>
          <w:sz w:val="24"/>
          <w:szCs w:val="24"/>
          <w:u w:val="single"/>
        </w:rPr>
        <w:t>U</w:t>
      </w:r>
      <w:r w:rsidRPr="00157239">
        <w:rPr>
          <w:sz w:val="24"/>
          <w:szCs w:val="24"/>
          <w:u w:val="single"/>
        </w:rPr>
        <w:t>nited States v. State of Alabama</w:t>
      </w:r>
      <w:r w:rsidRPr="00157239">
        <w:rPr>
          <w:sz w:val="24"/>
          <w:szCs w:val="24"/>
        </w:rPr>
        <w:t>, 252 F. Supp. 95 (M.D. Ala. 1966)</w:t>
      </w:r>
    </w:p>
  </w:footnote>
  <w:footnote w:id="48">
    <w:p w14:paraId="52D6856E" w14:textId="611CC9D6" w:rsidR="00157239" w:rsidRPr="00157239" w:rsidRDefault="00157239">
      <w:pPr>
        <w:pStyle w:val="FootnoteText"/>
        <w:rPr>
          <w:sz w:val="24"/>
          <w:szCs w:val="24"/>
        </w:rPr>
      </w:pPr>
      <w:r w:rsidRPr="00157239">
        <w:rPr>
          <w:rStyle w:val="FootnoteReference"/>
          <w:sz w:val="24"/>
          <w:szCs w:val="24"/>
        </w:rPr>
        <w:footnoteRef/>
      </w:r>
      <w:r w:rsidRPr="00157239">
        <w:rPr>
          <w:sz w:val="24"/>
          <w:szCs w:val="24"/>
        </w:rPr>
        <w:t xml:space="preserve"> </w:t>
      </w:r>
      <w:r w:rsidR="00ED31D2">
        <w:rPr>
          <w:sz w:val="24"/>
          <w:szCs w:val="24"/>
        </w:rPr>
        <w:t>Id.</w:t>
      </w:r>
    </w:p>
  </w:footnote>
  <w:footnote w:id="49">
    <w:p w14:paraId="5098FF79" w14:textId="07B32A48" w:rsidR="00ED31D2" w:rsidRPr="00C148A7" w:rsidRDefault="00ED31D2">
      <w:pPr>
        <w:pStyle w:val="FootnoteText"/>
        <w:rPr>
          <w:sz w:val="24"/>
          <w:szCs w:val="24"/>
        </w:rPr>
      </w:pPr>
      <w:r w:rsidRPr="00C148A7">
        <w:rPr>
          <w:rStyle w:val="FootnoteReference"/>
          <w:sz w:val="24"/>
          <w:szCs w:val="24"/>
        </w:rPr>
        <w:footnoteRef/>
      </w:r>
      <w:r w:rsidRPr="00C148A7">
        <w:rPr>
          <w:sz w:val="24"/>
          <w:szCs w:val="24"/>
        </w:rPr>
        <w:t xml:space="preserve"> Constitution of Alabama. Art. VIII, Sec 181. (1901)</w:t>
      </w:r>
    </w:p>
  </w:footnote>
  <w:footnote w:id="50">
    <w:p w14:paraId="159D271A" w14:textId="1AAB835A" w:rsidR="00C148A7" w:rsidRDefault="00C148A7">
      <w:pPr>
        <w:pStyle w:val="FootnoteText"/>
      </w:pPr>
      <w:r w:rsidRPr="00C148A7">
        <w:rPr>
          <w:rStyle w:val="FootnoteReference"/>
          <w:sz w:val="24"/>
          <w:szCs w:val="24"/>
        </w:rPr>
        <w:footnoteRef/>
      </w:r>
      <w:r w:rsidRPr="00C148A7">
        <w:rPr>
          <w:sz w:val="24"/>
          <w:szCs w:val="24"/>
        </w:rPr>
        <w:t xml:space="preserve"> Constitution</w:t>
      </w:r>
      <w:r w:rsidRPr="00ED31D2">
        <w:rPr>
          <w:sz w:val="24"/>
          <w:szCs w:val="24"/>
        </w:rPr>
        <w:t xml:space="preserve"> of Alabama. Art. VIII, Sec 18</w:t>
      </w:r>
      <w:r>
        <w:rPr>
          <w:sz w:val="24"/>
          <w:szCs w:val="24"/>
        </w:rPr>
        <w:t>0</w:t>
      </w:r>
      <w:r w:rsidRPr="00ED31D2">
        <w:rPr>
          <w:sz w:val="24"/>
          <w:szCs w:val="24"/>
        </w:rPr>
        <w:t>. (1901)</w:t>
      </w:r>
    </w:p>
  </w:footnote>
  <w:footnote w:id="51">
    <w:p w14:paraId="1F1BCC13" w14:textId="47CD5C3A" w:rsidR="00BE79EF" w:rsidRPr="00E735C7" w:rsidRDefault="00BE79EF" w:rsidP="00E735C7">
      <w:pPr>
        <w:pStyle w:val="FootnoteText"/>
        <w:ind w:left="720" w:hanging="720"/>
        <w:rPr>
          <w:sz w:val="24"/>
          <w:szCs w:val="24"/>
        </w:rPr>
      </w:pPr>
      <w:r w:rsidRPr="00E735C7">
        <w:rPr>
          <w:rStyle w:val="FootnoteReference"/>
          <w:sz w:val="24"/>
          <w:szCs w:val="24"/>
        </w:rPr>
        <w:footnoteRef/>
      </w:r>
      <w:r w:rsidRPr="00E735C7">
        <w:rPr>
          <w:sz w:val="24"/>
          <w:szCs w:val="24"/>
        </w:rPr>
        <w:t xml:space="preserve"> Alexander, Michelle. </w:t>
      </w:r>
      <w:r w:rsidRPr="00E735C7">
        <w:rPr>
          <w:i/>
          <w:sz w:val="24"/>
          <w:szCs w:val="24"/>
        </w:rPr>
        <w:t>The New Jim Crow: Mass Incarceration in the Age of Colorblindness</w:t>
      </w:r>
      <w:r w:rsidRPr="00E735C7">
        <w:rPr>
          <w:sz w:val="24"/>
          <w:szCs w:val="24"/>
        </w:rPr>
        <w:t>. Jackson: New Press, 2012. Print.</w:t>
      </w:r>
    </w:p>
  </w:footnote>
  <w:footnote w:id="52">
    <w:p w14:paraId="775A25DB" w14:textId="09804DEB" w:rsidR="00BE79EF" w:rsidRPr="00AA4C73" w:rsidRDefault="00BE79EF" w:rsidP="00AA4C73">
      <w:pPr>
        <w:pStyle w:val="FootnoteText"/>
        <w:ind w:left="720" w:hanging="720"/>
        <w:rPr>
          <w:sz w:val="24"/>
          <w:szCs w:val="24"/>
        </w:rPr>
      </w:pPr>
      <w:r w:rsidRPr="00AA4C73">
        <w:rPr>
          <w:rStyle w:val="FootnoteReference"/>
          <w:sz w:val="24"/>
          <w:szCs w:val="24"/>
        </w:rPr>
        <w:footnoteRef/>
      </w:r>
      <w:r w:rsidRPr="00AA4C73">
        <w:rPr>
          <w:sz w:val="24"/>
          <w:szCs w:val="24"/>
        </w:rPr>
        <w:t xml:space="preserve"> </w:t>
      </w:r>
      <w:proofErr w:type="spellStart"/>
      <w:r w:rsidRPr="00AA4C73">
        <w:rPr>
          <w:sz w:val="24"/>
          <w:szCs w:val="24"/>
        </w:rPr>
        <w:t>Somashekhar</w:t>
      </w:r>
      <w:proofErr w:type="spellEnd"/>
      <w:r w:rsidRPr="00AA4C73">
        <w:rPr>
          <w:sz w:val="24"/>
          <w:szCs w:val="24"/>
        </w:rPr>
        <w:t>, Sandhya</w:t>
      </w:r>
      <w:r>
        <w:rPr>
          <w:sz w:val="24"/>
          <w:szCs w:val="24"/>
        </w:rPr>
        <w:t>,</w:t>
      </w:r>
      <w:r w:rsidRPr="00AA4C73">
        <w:rPr>
          <w:sz w:val="24"/>
          <w:szCs w:val="24"/>
        </w:rPr>
        <w:t xml:space="preserve"> and Steven Rich. “Finally Tally: Police Shot and Killed 986 People in 2015.” </w:t>
      </w:r>
      <w:r w:rsidRPr="00AA4C73">
        <w:rPr>
          <w:i/>
          <w:sz w:val="24"/>
          <w:szCs w:val="24"/>
        </w:rPr>
        <w:t>The Washington Post,</w:t>
      </w:r>
      <w:r w:rsidRPr="00AA4C73">
        <w:rPr>
          <w:sz w:val="24"/>
          <w:szCs w:val="24"/>
        </w:rPr>
        <w:t xml:space="preserve"> 2016.</w:t>
      </w:r>
    </w:p>
  </w:footnote>
  <w:footnote w:id="53">
    <w:p w14:paraId="1B14E6E4" w14:textId="2E1B5517" w:rsidR="00BE79EF" w:rsidRPr="00C148A7" w:rsidRDefault="00BE79EF" w:rsidP="00AA4C73">
      <w:pPr>
        <w:pStyle w:val="FootnoteText"/>
        <w:ind w:left="720" w:hanging="720"/>
        <w:rPr>
          <w:sz w:val="24"/>
          <w:szCs w:val="24"/>
        </w:rPr>
      </w:pPr>
      <w:r w:rsidRPr="00AA4C73">
        <w:rPr>
          <w:rStyle w:val="FootnoteReference"/>
          <w:sz w:val="24"/>
          <w:szCs w:val="24"/>
        </w:rPr>
        <w:footnoteRef/>
      </w:r>
      <w:r w:rsidRPr="00AA4C73">
        <w:rPr>
          <w:sz w:val="24"/>
          <w:szCs w:val="24"/>
        </w:rPr>
        <w:t xml:space="preserve"> Lersch, Michelle, and </w:t>
      </w:r>
      <w:r>
        <w:rPr>
          <w:sz w:val="24"/>
          <w:szCs w:val="24"/>
        </w:rPr>
        <w:t xml:space="preserve">Joe </w:t>
      </w:r>
      <w:r w:rsidRPr="00AA4C73">
        <w:rPr>
          <w:sz w:val="24"/>
          <w:szCs w:val="24"/>
        </w:rPr>
        <w:t>Feagin.</w:t>
      </w:r>
      <w:r>
        <w:rPr>
          <w:sz w:val="24"/>
          <w:szCs w:val="24"/>
        </w:rPr>
        <w:t xml:space="preserve"> “</w:t>
      </w:r>
      <w:r w:rsidRPr="00AA4C73">
        <w:rPr>
          <w:sz w:val="24"/>
          <w:szCs w:val="24"/>
        </w:rPr>
        <w:t xml:space="preserve">Violent Police-Citizen Encounters: An Analysis </w:t>
      </w:r>
      <w:proofErr w:type="gramStart"/>
      <w:r w:rsidRPr="00AA4C73">
        <w:rPr>
          <w:sz w:val="24"/>
          <w:szCs w:val="24"/>
        </w:rPr>
        <w:t>Of</w:t>
      </w:r>
      <w:proofErr w:type="gramEnd"/>
      <w:r w:rsidRPr="00AA4C73">
        <w:rPr>
          <w:sz w:val="24"/>
          <w:szCs w:val="24"/>
        </w:rPr>
        <w:t xml:space="preserve"> Major </w:t>
      </w:r>
      <w:r w:rsidRPr="00C148A7">
        <w:rPr>
          <w:sz w:val="24"/>
          <w:szCs w:val="24"/>
        </w:rPr>
        <w:t xml:space="preserve">Newspaper Accounts.” </w:t>
      </w:r>
      <w:r w:rsidRPr="00C148A7">
        <w:rPr>
          <w:i/>
          <w:sz w:val="24"/>
          <w:szCs w:val="24"/>
        </w:rPr>
        <w:t>Critical Sociology</w:t>
      </w:r>
      <w:r w:rsidRPr="00C148A7">
        <w:rPr>
          <w:sz w:val="24"/>
          <w:szCs w:val="24"/>
        </w:rPr>
        <w:t>, 1996.</w:t>
      </w:r>
    </w:p>
  </w:footnote>
  <w:footnote w:id="54">
    <w:p w14:paraId="0A78232F" w14:textId="5A11DA28" w:rsidR="00BE79EF" w:rsidRPr="00072636" w:rsidRDefault="00BE79EF" w:rsidP="00072636">
      <w:pPr>
        <w:pStyle w:val="FootnoteText"/>
        <w:ind w:left="720" w:hanging="720"/>
      </w:pPr>
      <w:r w:rsidRPr="00C148A7">
        <w:rPr>
          <w:rStyle w:val="FootnoteReference"/>
          <w:sz w:val="24"/>
          <w:szCs w:val="24"/>
        </w:rPr>
        <w:footnoteRef/>
      </w:r>
      <w:r w:rsidRPr="00C148A7">
        <w:rPr>
          <w:sz w:val="24"/>
          <w:szCs w:val="24"/>
        </w:rPr>
        <w:t xml:space="preserve"> Bobo, Lawrence, and Victor Thompson. “Unfair </w:t>
      </w:r>
      <w:proofErr w:type="gramStart"/>
      <w:r w:rsidRPr="00C148A7">
        <w:rPr>
          <w:sz w:val="24"/>
          <w:szCs w:val="24"/>
        </w:rPr>
        <w:t>By</w:t>
      </w:r>
      <w:proofErr w:type="gramEnd"/>
      <w:r w:rsidRPr="00C148A7">
        <w:rPr>
          <w:sz w:val="24"/>
          <w:szCs w:val="24"/>
        </w:rPr>
        <w:t xml:space="preserve"> Design: The War on Drugs, Race, and the Legitimacy of the Criminal Justice System.” </w:t>
      </w:r>
      <w:r w:rsidRPr="00C148A7">
        <w:rPr>
          <w:i/>
          <w:sz w:val="24"/>
          <w:szCs w:val="24"/>
        </w:rPr>
        <w:t>Social Research</w:t>
      </w:r>
      <w:r w:rsidRPr="00C148A7">
        <w:rPr>
          <w:sz w:val="24"/>
          <w:szCs w:val="24"/>
        </w:rPr>
        <w:t>,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29233594"/>
      <w:docPartObj>
        <w:docPartGallery w:val="Page Numbers (Top of Page)"/>
        <w:docPartUnique/>
      </w:docPartObj>
    </w:sdtPr>
    <w:sdtEndPr>
      <w:rPr>
        <w:rStyle w:val="PageNumber"/>
      </w:rPr>
    </w:sdtEndPr>
    <w:sdtContent>
      <w:p w14:paraId="7AED3DA4" w14:textId="3678B2DB" w:rsidR="00BE79EF" w:rsidRDefault="00BE79EF" w:rsidP="00BE1F4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5D009E" w14:textId="77777777" w:rsidR="00BE79EF" w:rsidRDefault="00BE79EF" w:rsidP="009110F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76159" w14:textId="3ECDFFB8" w:rsidR="00BE79EF" w:rsidRDefault="00BE79EF" w:rsidP="009110F0">
    <w:pPr>
      <w:pStyle w:val="Header"/>
      <w:ind w:right="360"/>
      <w:jc w:val="right"/>
    </w:pPr>
    <w:r>
      <w:t xml:space="preserve">Smith </w:t>
    </w:r>
    <w:r>
      <w:fldChar w:fldCharType="begin"/>
    </w:r>
    <w:r>
      <w:instrText xml:space="preserve"> PAGE  \* MERGEFORMAT </w:instrText>
    </w:r>
    <w:r>
      <w:fldChar w:fldCharType="separate"/>
    </w:r>
    <w:r>
      <w:rPr>
        <w:noProof/>
      </w:rPr>
      <w:t>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8541DE"/>
    <w:multiLevelType w:val="multilevel"/>
    <w:tmpl w:val="361C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690"/>
    <w:rsid w:val="0000127C"/>
    <w:rsid w:val="000178A0"/>
    <w:rsid w:val="00035410"/>
    <w:rsid w:val="00047C49"/>
    <w:rsid w:val="000514AC"/>
    <w:rsid w:val="000540DD"/>
    <w:rsid w:val="00061797"/>
    <w:rsid w:val="000628C2"/>
    <w:rsid w:val="000678B6"/>
    <w:rsid w:val="00072636"/>
    <w:rsid w:val="0007527B"/>
    <w:rsid w:val="000A0EDF"/>
    <w:rsid w:val="000A4C58"/>
    <w:rsid w:val="000B00F2"/>
    <w:rsid w:val="000B5451"/>
    <w:rsid w:val="000B6A0C"/>
    <w:rsid w:val="000B6C42"/>
    <w:rsid w:val="000C42B3"/>
    <w:rsid w:val="000C5A1F"/>
    <w:rsid w:val="000F119C"/>
    <w:rsid w:val="000F2EA9"/>
    <w:rsid w:val="000F481C"/>
    <w:rsid w:val="00100803"/>
    <w:rsid w:val="001162F9"/>
    <w:rsid w:val="00116D85"/>
    <w:rsid w:val="00117EEF"/>
    <w:rsid w:val="0013069B"/>
    <w:rsid w:val="001446ED"/>
    <w:rsid w:val="00151A44"/>
    <w:rsid w:val="00151C35"/>
    <w:rsid w:val="00152987"/>
    <w:rsid w:val="00157239"/>
    <w:rsid w:val="00167F26"/>
    <w:rsid w:val="00172310"/>
    <w:rsid w:val="0017399B"/>
    <w:rsid w:val="001752D8"/>
    <w:rsid w:val="001855B9"/>
    <w:rsid w:val="0018645A"/>
    <w:rsid w:val="001867D3"/>
    <w:rsid w:val="00193FD6"/>
    <w:rsid w:val="001A0C03"/>
    <w:rsid w:val="001A3499"/>
    <w:rsid w:val="001A6808"/>
    <w:rsid w:val="001B4595"/>
    <w:rsid w:val="001C7429"/>
    <w:rsid w:val="001D2673"/>
    <w:rsid w:val="001D753F"/>
    <w:rsid w:val="0020329C"/>
    <w:rsid w:val="00213F7C"/>
    <w:rsid w:val="002162FD"/>
    <w:rsid w:val="00221B02"/>
    <w:rsid w:val="00233D77"/>
    <w:rsid w:val="00234991"/>
    <w:rsid w:val="0024632E"/>
    <w:rsid w:val="00253B9D"/>
    <w:rsid w:val="00256979"/>
    <w:rsid w:val="00260197"/>
    <w:rsid w:val="00265116"/>
    <w:rsid w:val="0027100D"/>
    <w:rsid w:val="002738FF"/>
    <w:rsid w:val="00277F0C"/>
    <w:rsid w:val="00293208"/>
    <w:rsid w:val="00293735"/>
    <w:rsid w:val="002942B1"/>
    <w:rsid w:val="00296EE6"/>
    <w:rsid w:val="00297032"/>
    <w:rsid w:val="002A743C"/>
    <w:rsid w:val="002B00A4"/>
    <w:rsid w:val="002B5966"/>
    <w:rsid w:val="002C0D4C"/>
    <w:rsid w:val="002C18B0"/>
    <w:rsid w:val="002C24A0"/>
    <w:rsid w:val="002C6FEC"/>
    <w:rsid w:val="002D1512"/>
    <w:rsid w:val="002D45A1"/>
    <w:rsid w:val="002D58F6"/>
    <w:rsid w:val="002E41D2"/>
    <w:rsid w:val="002E5AA7"/>
    <w:rsid w:val="002F2773"/>
    <w:rsid w:val="002F4690"/>
    <w:rsid w:val="002F5A82"/>
    <w:rsid w:val="002F5D96"/>
    <w:rsid w:val="002F62AA"/>
    <w:rsid w:val="002F7C59"/>
    <w:rsid w:val="002F7D76"/>
    <w:rsid w:val="00313E8B"/>
    <w:rsid w:val="003142BE"/>
    <w:rsid w:val="00326D78"/>
    <w:rsid w:val="00351DA9"/>
    <w:rsid w:val="00356109"/>
    <w:rsid w:val="003626CE"/>
    <w:rsid w:val="00364813"/>
    <w:rsid w:val="003776B4"/>
    <w:rsid w:val="003800ED"/>
    <w:rsid w:val="00387A67"/>
    <w:rsid w:val="003A150F"/>
    <w:rsid w:val="003A3093"/>
    <w:rsid w:val="003A3649"/>
    <w:rsid w:val="003B3F20"/>
    <w:rsid w:val="003C2F47"/>
    <w:rsid w:val="003C78B5"/>
    <w:rsid w:val="003D5855"/>
    <w:rsid w:val="003E0697"/>
    <w:rsid w:val="003E6A79"/>
    <w:rsid w:val="003F181C"/>
    <w:rsid w:val="003F229B"/>
    <w:rsid w:val="00413608"/>
    <w:rsid w:val="004211E9"/>
    <w:rsid w:val="00424D4D"/>
    <w:rsid w:val="00426557"/>
    <w:rsid w:val="00430A07"/>
    <w:rsid w:val="0044109C"/>
    <w:rsid w:val="00447627"/>
    <w:rsid w:val="00454161"/>
    <w:rsid w:val="00461D99"/>
    <w:rsid w:val="00463486"/>
    <w:rsid w:val="004649E2"/>
    <w:rsid w:val="00476824"/>
    <w:rsid w:val="00491C99"/>
    <w:rsid w:val="004A143D"/>
    <w:rsid w:val="004A51E0"/>
    <w:rsid w:val="004B2907"/>
    <w:rsid w:val="004B3990"/>
    <w:rsid w:val="004D2E14"/>
    <w:rsid w:val="004D3F69"/>
    <w:rsid w:val="004D4AB8"/>
    <w:rsid w:val="004D5BE5"/>
    <w:rsid w:val="004E3C7C"/>
    <w:rsid w:val="00501A32"/>
    <w:rsid w:val="00523352"/>
    <w:rsid w:val="0053047F"/>
    <w:rsid w:val="005323A9"/>
    <w:rsid w:val="00533602"/>
    <w:rsid w:val="00541DE2"/>
    <w:rsid w:val="00542DD2"/>
    <w:rsid w:val="00545472"/>
    <w:rsid w:val="0054782C"/>
    <w:rsid w:val="00550CB5"/>
    <w:rsid w:val="00553288"/>
    <w:rsid w:val="0055369D"/>
    <w:rsid w:val="0056088F"/>
    <w:rsid w:val="005672BE"/>
    <w:rsid w:val="005770B0"/>
    <w:rsid w:val="0058404A"/>
    <w:rsid w:val="005B3BDE"/>
    <w:rsid w:val="005B790B"/>
    <w:rsid w:val="005C2996"/>
    <w:rsid w:val="005C5CE6"/>
    <w:rsid w:val="005D003D"/>
    <w:rsid w:val="005D4459"/>
    <w:rsid w:val="005E00E4"/>
    <w:rsid w:val="005E4ED8"/>
    <w:rsid w:val="005E6BBB"/>
    <w:rsid w:val="005E6C53"/>
    <w:rsid w:val="005F3ED7"/>
    <w:rsid w:val="00603649"/>
    <w:rsid w:val="00605FB4"/>
    <w:rsid w:val="006072A9"/>
    <w:rsid w:val="0061066D"/>
    <w:rsid w:val="00616AED"/>
    <w:rsid w:val="00620B90"/>
    <w:rsid w:val="00623F66"/>
    <w:rsid w:val="006430BF"/>
    <w:rsid w:val="00646681"/>
    <w:rsid w:val="006531B0"/>
    <w:rsid w:val="00654DC6"/>
    <w:rsid w:val="0065666D"/>
    <w:rsid w:val="00660AD6"/>
    <w:rsid w:val="0066137D"/>
    <w:rsid w:val="00662EBB"/>
    <w:rsid w:val="006638BC"/>
    <w:rsid w:val="0066467D"/>
    <w:rsid w:val="00666380"/>
    <w:rsid w:val="006663F0"/>
    <w:rsid w:val="00687512"/>
    <w:rsid w:val="00695BAD"/>
    <w:rsid w:val="006A00B7"/>
    <w:rsid w:val="006B1BB9"/>
    <w:rsid w:val="006B5EE7"/>
    <w:rsid w:val="006C6C5A"/>
    <w:rsid w:val="006E3B75"/>
    <w:rsid w:val="006F16EC"/>
    <w:rsid w:val="006F2254"/>
    <w:rsid w:val="006F4BBF"/>
    <w:rsid w:val="006F77BB"/>
    <w:rsid w:val="007035ED"/>
    <w:rsid w:val="0070528E"/>
    <w:rsid w:val="007353A2"/>
    <w:rsid w:val="00741000"/>
    <w:rsid w:val="0074216C"/>
    <w:rsid w:val="0074540F"/>
    <w:rsid w:val="0075730B"/>
    <w:rsid w:val="00763F2A"/>
    <w:rsid w:val="00767F3A"/>
    <w:rsid w:val="00775B25"/>
    <w:rsid w:val="0078089C"/>
    <w:rsid w:val="007823AF"/>
    <w:rsid w:val="00791BBE"/>
    <w:rsid w:val="00794369"/>
    <w:rsid w:val="00796145"/>
    <w:rsid w:val="007971D8"/>
    <w:rsid w:val="007A116F"/>
    <w:rsid w:val="007A2F62"/>
    <w:rsid w:val="007A70E8"/>
    <w:rsid w:val="007B32E0"/>
    <w:rsid w:val="007B4CD1"/>
    <w:rsid w:val="007B5059"/>
    <w:rsid w:val="007C28FD"/>
    <w:rsid w:val="007C2A61"/>
    <w:rsid w:val="007C2B36"/>
    <w:rsid w:val="007C6D0B"/>
    <w:rsid w:val="007D09C3"/>
    <w:rsid w:val="007D2631"/>
    <w:rsid w:val="007D49A3"/>
    <w:rsid w:val="007D764C"/>
    <w:rsid w:val="007E0A73"/>
    <w:rsid w:val="007E4D95"/>
    <w:rsid w:val="007F1223"/>
    <w:rsid w:val="007F5BEB"/>
    <w:rsid w:val="00803C09"/>
    <w:rsid w:val="00803D85"/>
    <w:rsid w:val="008046E7"/>
    <w:rsid w:val="008130E7"/>
    <w:rsid w:val="008139D9"/>
    <w:rsid w:val="00814D52"/>
    <w:rsid w:val="00820709"/>
    <w:rsid w:val="00826E79"/>
    <w:rsid w:val="00832B8F"/>
    <w:rsid w:val="0084687E"/>
    <w:rsid w:val="00846AF5"/>
    <w:rsid w:val="008479B2"/>
    <w:rsid w:val="00851115"/>
    <w:rsid w:val="00853544"/>
    <w:rsid w:val="00861B13"/>
    <w:rsid w:val="00870F93"/>
    <w:rsid w:val="00871E19"/>
    <w:rsid w:val="00875C07"/>
    <w:rsid w:val="00876335"/>
    <w:rsid w:val="00877912"/>
    <w:rsid w:val="00880358"/>
    <w:rsid w:val="008811C0"/>
    <w:rsid w:val="00885C7A"/>
    <w:rsid w:val="00892D32"/>
    <w:rsid w:val="008966B3"/>
    <w:rsid w:val="008A06F4"/>
    <w:rsid w:val="008A57A4"/>
    <w:rsid w:val="008B4753"/>
    <w:rsid w:val="008C0F72"/>
    <w:rsid w:val="008C5B2E"/>
    <w:rsid w:val="008D11CD"/>
    <w:rsid w:val="008E0CCF"/>
    <w:rsid w:val="008E585E"/>
    <w:rsid w:val="008F0432"/>
    <w:rsid w:val="008F789E"/>
    <w:rsid w:val="009022FA"/>
    <w:rsid w:val="009110F0"/>
    <w:rsid w:val="00912D8E"/>
    <w:rsid w:val="00913AD1"/>
    <w:rsid w:val="009226EF"/>
    <w:rsid w:val="00923554"/>
    <w:rsid w:val="009248A5"/>
    <w:rsid w:val="00931436"/>
    <w:rsid w:val="009358AA"/>
    <w:rsid w:val="00936C46"/>
    <w:rsid w:val="00941A08"/>
    <w:rsid w:val="00941BD6"/>
    <w:rsid w:val="00943141"/>
    <w:rsid w:val="0094495C"/>
    <w:rsid w:val="009530C6"/>
    <w:rsid w:val="0095633C"/>
    <w:rsid w:val="00965512"/>
    <w:rsid w:val="0098345E"/>
    <w:rsid w:val="0099666D"/>
    <w:rsid w:val="009A13D0"/>
    <w:rsid w:val="009A3D65"/>
    <w:rsid w:val="009A6251"/>
    <w:rsid w:val="009B0182"/>
    <w:rsid w:val="009C0764"/>
    <w:rsid w:val="009C39BB"/>
    <w:rsid w:val="009C5C30"/>
    <w:rsid w:val="009C627D"/>
    <w:rsid w:val="009D1BAB"/>
    <w:rsid w:val="009D26B1"/>
    <w:rsid w:val="009F08B0"/>
    <w:rsid w:val="009F2A37"/>
    <w:rsid w:val="00A16601"/>
    <w:rsid w:val="00A31852"/>
    <w:rsid w:val="00A45DF7"/>
    <w:rsid w:val="00A50314"/>
    <w:rsid w:val="00A526C1"/>
    <w:rsid w:val="00A54AED"/>
    <w:rsid w:val="00A721ED"/>
    <w:rsid w:val="00A77E5F"/>
    <w:rsid w:val="00A834A5"/>
    <w:rsid w:val="00A84B33"/>
    <w:rsid w:val="00A926D2"/>
    <w:rsid w:val="00A951D8"/>
    <w:rsid w:val="00AA4C73"/>
    <w:rsid w:val="00AC04BE"/>
    <w:rsid w:val="00AD4CE9"/>
    <w:rsid w:val="00AD4DCD"/>
    <w:rsid w:val="00AD7A9C"/>
    <w:rsid w:val="00AE3D5A"/>
    <w:rsid w:val="00AE4C5E"/>
    <w:rsid w:val="00AE7E18"/>
    <w:rsid w:val="00AF22CD"/>
    <w:rsid w:val="00AF4B25"/>
    <w:rsid w:val="00B0397A"/>
    <w:rsid w:val="00B072D6"/>
    <w:rsid w:val="00B238CD"/>
    <w:rsid w:val="00B25431"/>
    <w:rsid w:val="00B3189B"/>
    <w:rsid w:val="00B4344F"/>
    <w:rsid w:val="00B4436B"/>
    <w:rsid w:val="00B449BF"/>
    <w:rsid w:val="00B519F1"/>
    <w:rsid w:val="00B522E0"/>
    <w:rsid w:val="00B61CBB"/>
    <w:rsid w:val="00B627EF"/>
    <w:rsid w:val="00B64F8A"/>
    <w:rsid w:val="00B839BD"/>
    <w:rsid w:val="00B90D0F"/>
    <w:rsid w:val="00B95E1C"/>
    <w:rsid w:val="00BB4E6E"/>
    <w:rsid w:val="00BC0119"/>
    <w:rsid w:val="00BC068C"/>
    <w:rsid w:val="00BC7E2B"/>
    <w:rsid w:val="00BD033E"/>
    <w:rsid w:val="00BD6787"/>
    <w:rsid w:val="00BE103D"/>
    <w:rsid w:val="00BE1F4B"/>
    <w:rsid w:val="00BE79EF"/>
    <w:rsid w:val="00BF2B26"/>
    <w:rsid w:val="00BF5F7C"/>
    <w:rsid w:val="00BF5FC4"/>
    <w:rsid w:val="00C0360C"/>
    <w:rsid w:val="00C04675"/>
    <w:rsid w:val="00C1193A"/>
    <w:rsid w:val="00C12905"/>
    <w:rsid w:val="00C13E80"/>
    <w:rsid w:val="00C148A7"/>
    <w:rsid w:val="00C15DE6"/>
    <w:rsid w:val="00C35FA2"/>
    <w:rsid w:val="00C369D7"/>
    <w:rsid w:val="00C46695"/>
    <w:rsid w:val="00C47F0E"/>
    <w:rsid w:val="00C54675"/>
    <w:rsid w:val="00C5698B"/>
    <w:rsid w:val="00C60BFB"/>
    <w:rsid w:val="00C66DFD"/>
    <w:rsid w:val="00C74F42"/>
    <w:rsid w:val="00C87963"/>
    <w:rsid w:val="00C87E96"/>
    <w:rsid w:val="00C906E3"/>
    <w:rsid w:val="00C945F4"/>
    <w:rsid w:val="00CA60D1"/>
    <w:rsid w:val="00CA6B30"/>
    <w:rsid w:val="00CC361B"/>
    <w:rsid w:val="00CD0B9E"/>
    <w:rsid w:val="00CD142B"/>
    <w:rsid w:val="00CD46B6"/>
    <w:rsid w:val="00CE2BA8"/>
    <w:rsid w:val="00CE644E"/>
    <w:rsid w:val="00CF6080"/>
    <w:rsid w:val="00CF6A6F"/>
    <w:rsid w:val="00CF6E12"/>
    <w:rsid w:val="00CF7F11"/>
    <w:rsid w:val="00D00E31"/>
    <w:rsid w:val="00D1158F"/>
    <w:rsid w:val="00D120F0"/>
    <w:rsid w:val="00D16BE7"/>
    <w:rsid w:val="00D20C94"/>
    <w:rsid w:val="00D340DA"/>
    <w:rsid w:val="00D341CB"/>
    <w:rsid w:val="00D34995"/>
    <w:rsid w:val="00D3595B"/>
    <w:rsid w:val="00D359C3"/>
    <w:rsid w:val="00D457E6"/>
    <w:rsid w:val="00D50E5E"/>
    <w:rsid w:val="00D54431"/>
    <w:rsid w:val="00D56E4D"/>
    <w:rsid w:val="00D63D7A"/>
    <w:rsid w:val="00D73D1E"/>
    <w:rsid w:val="00D853CE"/>
    <w:rsid w:val="00D90D96"/>
    <w:rsid w:val="00D93253"/>
    <w:rsid w:val="00D96DC7"/>
    <w:rsid w:val="00D9716B"/>
    <w:rsid w:val="00D971D8"/>
    <w:rsid w:val="00DA30B2"/>
    <w:rsid w:val="00DD029C"/>
    <w:rsid w:val="00DD117F"/>
    <w:rsid w:val="00DD4586"/>
    <w:rsid w:val="00DE6A82"/>
    <w:rsid w:val="00DF2B89"/>
    <w:rsid w:val="00DF6092"/>
    <w:rsid w:val="00DF63E6"/>
    <w:rsid w:val="00E16408"/>
    <w:rsid w:val="00E241BA"/>
    <w:rsid w:val="00E25A1F"/>
    <w:rsid w:val="00E2722C"/>
    <w:rsid w:val="00E30A2F"/>
    <w:rsid w:val="00E36274"/>
    <w:rsid w:val="00E527EE"/>
    <w:rsid w:val="00E63670"/>
    <w:rsid w:val="00E641A5"/>
    <w:rsid w:val="00E66CDA"/>
    <w:rsid w:val="00E70C3C"/>
    <w:rsid w:val="00E735C7"/>
    <w:rsid w:val="00E851CF"/>
    <w:rsid w:val="00E85D0F"/>
    <w:rsid w:val="00EA3432"/>
    <w:rsid w:val="00EB1089"/>
    <w:rsid w:val="00EC12DC"/>
    <w:rsid w:val="00EC6702"/>
    <w:rsid w:val="00EC7328"/>
    <w:rsid w:val="00ED1F5D"/>
    <w:rsid w:val="00ED31D2"/>
    <w:rsid w:val="00ED6D02"/>
    <w:rsid w:val="00EE29E0"/>
    <w:rsid w:val="00EE3313"/>
    <w:rsid w:val="00EE524A"/>
    <w:rsid w:val="00EF016F"/>
    <w:rsid w:val="00EF398B"/>
    <w:rsid w:val="00EF7069"/>
    <w:rsid w:val="00EF7CEB"/>
    <w:rsid w:val="00F04A3E"/>
    <w:rsid w:val="00F05E8E"/>
    <w:rsid w:val="00F07D00"/>
    <w:rsid w:val="00F16179"/>
    <w:rsid w:val="00F22CF6"/>
    <w:rsid w:val="00F27AC3"/>
    <w:rsid w:val="00F42558"/>
    <w:rsid w:val="00F457C6"/>
    <w:rsid w:val="00F45BDA"/>
    <w:rsid w:val="00F6138A"/>
    <w:rsid w:val="00F672B7"/>
    <w:rsid w:val="00F74A92"/>
    <w:rsid w:val="00F92F6B"/>
    <w:rsid w:val="00FA468D"/>
    <w:rsid w:val="00FA4E6E"/>
    <w:rsid w:val="00FC516B"/>
    <w:rsid w:val="00FD2BFC"/>
    <w:rsid w:val="00FD624D"/>
    <w:rsid w:val="00FE637F"/>
    <w:rsid w:val="00FF5D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B1019"/>
  <w15:docId w15:val="{F62EC359-AB2B-9B43-A2A2-791EE6A3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690"/>
    <w:rPr>
      <w:rFonts w:ascii="Times New Roman" w:hAnsi="Times New Roman" w:cs="Times New Roman"/>
      <w:shd w:val="clear" w:color="auto" w:fill="FFFFFF"/>
    </w:rPr>
  </w:style>
  <w:style w:type="paragraph" w:styleId="Heading1">
    <w:name w:val="heading 1"/>
    <w:basedOn w:val="Normal"/>
    <w:next w:val="Normal"/>
    <w:link w:val="Heading1Char"/>
    <w:uiPriority w:val="9"/>
    <w:qFormat/>
    <w:rsid w:val="00A84B33"/>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shd w:val="clear" w:color="auto" w:fill="auto"/>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449BF"/>
    <w:rPr>
      <w:sz w:val="20"/>
      <w:szCs w:val="20"/>
    </w:rPr>
  </w:style>
  <w:style w:type="character" w:customStyle="1" w:styleId="FootnoteTextChar">
    <w:name w:val="Footnote Text Char"/>
    <w:basedOn w:val="DefaultParagraphFont"/>
    <w:link w:val="FootnoteText"/>
    <w:uiPriority w:val="99"/>
    <w:rsid w:val="00B449BF"/>
    <w:rPr>
      <w:rFonts w:ascii="Times New Roman" w:hAnsi="Times New Roman" w:cs="Times New Roman"/>
      <w:sz w:val="20"/>
      <w:szCs w:val="20"/>
    </w:rPr>
  </w:style>
  <w:style w:type="character" w:styleId="FootnoteReference">
    <w:name w:val="footnote reference"/>
    <w:basedOn w:val="DefaultParagraphFont"/>
    <w:uiPriority w:val="99"/>
    <w:semiHidden/>
    <w:unhideWhenUsed/>
    <w:rsid w:val="00B449BF"/>
    <w:rPr>
      <w:vertAlign w:val="superscript"/>
    </w:rPr>
  </w:style>
  <w:style w:type="table" w:styleId="TableGrid">
    <w:name w:val="Table Grid"/>
    <w:basedOn w:val="TableNormal"/>
    <w:uiPriority w:val="39"/>
    <w:rsid w:val="00326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84B33"/>
    <w:rPr>
      <w:rFonts w:asciiTheme="majorHAnsi" w:eastAsiaTheme="majorEastAsia" w:hAnsiTheme="majorHAnsi" w:cstheme="majorBidi"/>
      <w:b/>
      <w:bCs/>
      <w:color w:val="2F5496" w:themeColor="accent1" w:themeShade="BF"/>
      <w:sz w:val="28"/>
      <w:szCs w:val="28"/>
      <w:lang w:bidi="en-US"/>
    </w:rPr>
  </w:style>
  <w:style w:type="character" w:styleId="CommentReference">
    <w:name w:val="annotation reference"/>
    <w:basedOn w:val="DefaultParagraphFont"/>
    <w:uiPriority w:val="99"/>
    <w:semiHidden/>
    <w:unhideWhenUsed/>
    <w:rsid w:val="004D2E14"/>
    <w:rPr>
      <w:sz w:val="16"/>
      <w:szCs w:val="16"/>
    </w:rPr>
  </w:style>
  <w:style w:type="paragraph" w:styleId="CommentText">
    <w:name w:val="annotation text"/>
    <w:basedOn w:val="Normal"/>
    <w:link w:val="CommentTextChar"/>
    <w:uiPriority w:val="99"/>
    <w:semiHidden/>
    <w:unhideWhenUsed/>
    <w:rsid w:val="004D2E14"/>
    <w:rPr>
      <w:sz w:val="20"/>
      <w:szCs w:val="20"/>
    </w:rPr>
  </w:style>
  <w:style w:type="character" w:customStyle="1" w:styleId="CommentTextChar">
    <w:name w:val="Comment Text Char"/>
    <w:basedOn w:val="DefaultParagraphFont"/>
    <w:link w:val="CommentText"/>
    <w:uiPriority w:val="99"/>
    <w:semiHidden/>
    <w:rsid w:val="004D2E1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2E14"/>
    <w:rPr>
      <w:b/>
      <w:bCs/>
    </w:rPr>
  </w:style>
  <w:style w:type="character" w:customStyle="1" w:styleId="CommentSubjectChar">
    <w:name w:val="Comment Subject Char"/>
    <w:basedOn w:val="CommentTextChar"/>
    <w:link w:val="CommentSubject"/>
    <w:uiPriority w:val="99"/>
    <w:semiHidden/>
    <w:rsid w:val="004D2E14"/>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4D2E14"/>
    <w:rPr>
      <w:sz w:val="18"/>
      <w:szCs w:val="18"/>
    </w:rPr>
  </w:style>
  <w:style w:type="character" w:customStyle="1" w:styleId="BalloonTextChar">
    <w:name w:val="Balloon Text Char"/>
    <w:basedOn w:val="DefaultParagraphFont"/>
    <w:link w:val="BalloonText"/>
    <w:uiPriority w:val="99"/>
    <w:semiHidden/>
    <w:rsid w:val="004D2E14"/>
    <w:rPr>
      <w:rFonts w:ascii="Times New Roman" w:hAnsi="Times New Roman" w:cs="Times New Roman"/>
      <w:sz w:val="18"/>
      <w:szCs w:val="18"/>
    </w:rPr>
  </w:style>
  <w:style w:type="paragraph" w:styleId="Caption">
    <w:name w:val="caption"/>
    <w:basedOn w:val="Normal"/>
    <w:next w:val="Normal"/>
    <w:uiPriority w:val="35"/>
    <w:unhideWhenUsed/>
    <w:qFormat/>
    <w:rsid w:val="005E6BBB"/>
    <w:pPr>
      <w:spacing w:after="200"/>
    </w:pPr>
    <w:rPr>
      <w:b/>
      <w:bCs/>
      <w:color w:val="4472C4" w:themeColor="accent1"/>
      <w:sz w:val="18"/>
      <w:szCs w:val="18"/>
    </w:rPr>
  </w:style>
  <w:style w:type="paragraph" w:styleId="EndnoteText">
    <w:name w:val="endnote text"/>
    <w:basedOn w:val="Normal"/>
    <w:link w:val="EndnoteTextChar"/>
    <w:uiPriority w:val="99"/>
    <w:semiHidden/>
    <w:unhideWhenUsed/>
    <w:rsid w:val="00646681"/>
    <w:rPr>
      <w:sz w:val="20"/>
      <w:szCs w:val="20"/>
    </w:rPr>
  </w:style>
  <w:style w:type="character" w:customStyle="1" w:styleId="EndnoteTextChar">
    <w:name w:val="Endnote Text Char"/>
    <w:basedOn w:val="DefaultParagraphFont"/>
    <w:link w:val="EndnoteText"/>
    <w:uiPriority w:val="99"/>
    <w:semiHidden/>
    <w:rsid w:val="00646681"/>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646681"/>
    <w:rPr>
      <w:vertAlign w:val="superscript"/>
    </w:rPr>
  </w:style>
  <w:style w:type="paragraph" w:styleId="NormalWeb">
    <w:name w:val="Normal (Web)"/>
    <w:basedOn w:val="Normal"/>
    <w:uiPriority w:val="99"/>
    <w:semiHidden/>
    <w:unhideWhenUsed/>
    <w:rsid w:val="00826E79"/>
    <w:pPr>
      <w:spacing w:before="100" w:beforeAutospacing="1" w:after="100" w:afterAutospacing="1"/>
    </w:pPr>
    <w:rPr>
      <w:rFonts w:eastAsia="Times New Roman"/>
      <w:shd w:val="clear" w:color="auto" w:fill="auto"/>
    </w:rPr>
  </w:style>
  <w:style w:type="character" w:customStyle="1" w:styleId="apple-converted-space">
    <w:name w:val="apple-converted-space"/>
    <w:basedOn w:val="DefaultParagraphFont"/>
    <w:rsid w:val="00454161"/>
  </w:style>
  <w:style w:type="character" w:styleId="Hyperlink">
    <w:name w:val="Hyperlink"/>
    <w:basedOn w:val="DefaultParagraphFont"/>
    <w:uiPriority w:val="99"/>
    <w:unhideWhenUsed/>
    <w:rsid w:val="006A00B7"/>
    <w:rPr>
      <w:color w:val="0000FF"/>
      <w:u w:val="single"/>
    </w:rPr>
  </w:style>
  <w:style w:type="paragraph" w:styleId="Revision">
    <w:name w:val="Revision"/>
    <w:hidden/>
    <w:uiPriority w:val="99"/>
    <w:semiHidden/>
    <w:rsid w:val="000B00F2"/>
    <w:rPr>
      <w:rFonts w:ascii="Times New Roman" w:hAnsi="Times New Roman" w:cs="Times New Roman"/>
      <w:shd w:val="clear" w:color="auto" w:fill="FFFFFF"/>
    </w:rPr>
  </w:style>
  <w:style w:type="paragraph" w:styleId="Header">
    <w:name w:val="header"/>
    <w:basedOn w:val="Normal"/>
    <w:link w:val="HeaderChar"/>
    <w:uiPriority w:val="99"/>
    <w:unhideWhenUsed/>
    <w:rsid w:val="00C47F0E"/>
    <w:pPr>
      <w:tabs>
        <w:tab w:val="center" w:pos="4680"/>
        <w:tab w:val="right" w:pos="9360"/>
      </w:tabs>
    </w:pPr>
  </w:style>
  <w:style w:type="character" w:customStyle="1" w:styleId="HeaderChar">
    <w:name w:val="Header Char"/>
    <w:basedOn w:val="DefaultParagraphFont"/>
    <w:link w:val="Header"/>
    <w:uiPriority w:val="99"/>
    <w:rsid w:val="00C47F0E"/>
    <w:rPr>
      <w:rFonts w:ascii="Times New Roman" w:hAnsi="Times New Roman" w:cs="Times New Roman"/>
    </w:rPr>
  </w:style>
  <w:style w:type="paragraph" w:styleId="Footer">
    <w:name w:val="footer"/>
    <w:basedOn w:val="Normal"/>
    <w:link w:val="FooterChar"/>
    <w:uiPriority w:val="99"/>
    <w:unhideWhenUsed/>
    <w:rsid w:val="00C47F0E"/>
    <w:pPr>
      <w:tabs>
        <w:tab w:val="center" w:pos="4680"/>
        <w:tab w:val="right" w:pos="9360"/>
      </w:tabs>
    </w:pPr>
  </w:style>
  <w:style w:type="character" w:customStyle="1" w:styleId="FooterChar">
    <w:name w:val="Footer Char"/>
    <w:basedOn w:val="DefaultParagraphFont"/>
    <w:link w:val="Footer"/>
    <w:uiPriority w:val="99"/>
    <w:rsid w:val="00C47F0E"/>
    <w:rPr>
      <w:rFonts w:ascii="Times New Roman" w:hAnsi="Times New Roman" w:cs="Times New Roman"/>
    </w:rPr>
  </w:style>
  <w:style w:type="character" w:styleId="PageNumber">
    <w:name w:val="page number"/>
    <w:basedOn w:val="DefaultParagraphFont"/>
    <w:uiPriority w:val="99"/>
    <w:semiHidden/>
    <w:unhideWhenUsed/>
    <w:rsid w:val="009110F0"/>
  </w:style>
  <w:style w:type="paragraph" w:styleId="NoSpacing">
    <w:name w:val="No Spacing"/>
    <w:link w:val="NoSpacingChar"/>
    <w:uiPriority w:val="1"/>
    <w:qFormat/>
    <w:rsid w:val="009110F0"/>
    <w:rPr>
      <w:rFonts w:eastAsiaTheme="minorEastAsia"/>
      <w:sz w:val="22"/>
      <w:szCs w:val="22"/>
      <w:lang w:eastAsia="zh-CN"/>
    </w:rPr>
  </w:style>
  <w:style w:type="character" w:customStyle="1" w:styleId="NoSpacingChar">
    <w:name w:val="No Spacing Char"/>
    <w:basedOn w:val="DefaultParagraphFont"/>
    <w:link w:val="NoSpacing"/>
    <w:uiPriority w:val="1"/>
    <w:rsid w:val="009110F0"/>
    <w:rPr>
      <w:rFonts w:eastAsiaTheme="minorEastAsia"/>
      <w:sz w:val="22"/>
      <w:szCs w:val="22"/>
      <w:lang w:eastAsia="zh-CN"/>
    </w:rPr>
  </w:style>
  <w:style w:type="paragraph" w:styleId="TableofFigures">
    <w:name w:val="table of figures"/>
    <w:basedOn w:val="Normal"/>
    <w:next w:val="Normal"/>
    <w:uiPriority w:val="99"/>
    <w:unhideWhenUsed/>
    <w:rsid w:val="009110F0"/>
    <w:pPr>
      <w:ind w:left="480" w:hanging="480"/>
    </w:pPr>
    <w:rPr>
      <w:rFonts w:asciiTheme="minorHAnsi" w:hAnsi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848935">
      <w:bodyDiv w:val="1"/>
      <w:marLeft w:val="0"/>
      <w:marRight w:val="0"/>
      <w:marTop w:val="0"/>
      <w:marBottom w:val="0"/>
      <w:divBdr>
        <w:top w:val="none" w:sz="0" w:space="0" w:color="auto"/>
        <w:left w:val="none" w:sz="0" w:space="0" w:color="auto"/>
        <w:bottom w:val="none" w:sz="0" w:space="0" w:color="auto"/>
        <w:right w:val="none" w:sz="0" w:space="0" w:color="auto"/>
      </w:divBdr>
    </w:div>
    <w:div w:id="436095703">
      <w:bodyDiv w:val="1"/>
      <w:marLeft w:val="0"/>
      <w:marRight w:val="0"/>
      <w:marTop w:val="0"/>
      <w:marBottom w:val="0"/>
      <w:divBdr>
        <w:top w:val="none" w:sz="0" w:space="0" w:color="auto"/>
        <w:left w:val="none" w:sz="0" w:space="0" w:color="auto"/>
        <w:bottom w:val="none" w:sz="0" w:space="0" w:color="auto"/>
        <w:right w:val="none" w:sz="0" w:space="0" w:color="auto"/>
      </w:divBdr>
    </w:div>
    <w:div w:id="626158177">
      <w:bodyDiv w:val="1"/>
      <w:marLeft w:val="0"/>
      <w:marRight w:val="0"/>
      <w:marTop w:val="0"/>
      <w:marBottom w:val="0"/>
      <w:divBdr>
        <w:top w:val="none" w:sz="0" w:space="0" w:color="auto"/>
        <w:left w:val="none" w:sz="0" w:space="0" w:color="auto"/>
        <w:bottom w:val="none" w:sz="0" w:space="0" w:color="auto"/>
        <w:right w:val="none" w:sz="0" w:space="0" w:color="auto"/>
      </w:divBdr>
      <w:divsChild>
        <w:div w:id="2021544213">
          <w:marLeft w:val="0"/>
          <w:marRight w:val="0"/>
          <w:marTop w:val="0"/>
          <w:marBottom w:val="0"/>
          <w:divBdr>
            <w:top w:val="none" w:sz="0" w:space="0" w:color="auto"/>
            <w:left w:val="none" w:sz="0" w:space="0" w:color="auto"/>
            <w:bottom w:val="none" w:sz="0" w:space="0" w:color="auto"/>
            <w:right w:val="none" w:sz="0" w:space="0" w:color="auto"/>
          </w:divBdr>
          <w:divsChild>
            <w:div w:id="408891472">
              <w:marLeft w:val="0"/>
              <w:marRight w:val="0"/>
              <w:marTop w:val="0"/>
              <w:marBottom w:val="0"/>
              <w:divBdr>
                <w:top w:val="none" w:sz="0" w:space="0" w:color="auto"/>
                <w:left w:val="none" w:sz="0" w:space="0" w:color="auto"/>
                <w:bottom w:val="none" w:sz="0" w:space="0" w:color="auto"/>
                <w:right w:val="none" w:sz="0" w:space="0" w:color="auto"/>
              </w:divBdr>
              <w:divsChild>
                <w:div w:id="10007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167142">
      <w:bodyDiv w:val="1"/>
      <w:marLeft w:val="0"/>
      <w:marRight w:val="0"/>
      <w:marTop w:val="0"/>
      <w:marBottom w:val="0"/>
      <w:divBdr>
        <w:top w:val="none" w:sz="0" w:space="0" w:color="auto"/>
        <w:left w:val="none" w:sz="0" w:space="0" w:color="auto"/>
        <w:bottom w:val="none" w:sz="0" w:space="0" w:color="auto"/>
        <w:right w:val="none" w:sz="0" w:space="0" w:color="auto"/>
      </w:divBdr>
    </w:div>
    <w:div w:id="709184171">
      <w:bodyDiv w:val="1"/>
      <w:marLeft w:val="0"/>
      <w:marRight w:val="0"/>
      <w:marTop w:val="0"/>
      <w:marBottom w:val="0"/>
      <w:divBdr>
        <w:top w:val="none" w:sz="0" w:space="0" w:color="auto"/>
        <w:left w:val="none" w:sz="0" w:space="0" w:color="auto"/>
        <w:bottom w:val="none" w:sz="0" w:space="0" w:color="auto"/>
        <w:right w:val="none" w:sz="0" w:space="0" w:color="auto"/>
      </w:divBdr>
    </w:div>
    <w:div w:id="788822723">
      <w:bodyDiv w:val="1"/>
      <w:marLeft w:val="0"/>
      <w:marRight w:val="0"/>
      <w:marTop w:val="0"/>
      <w:marBottom w:val="0"/>
      <w:divBdr>
        <w:top w:val="none" w:sz="0" w:space="0" w:color="auto"/>
        <w:left w:val="none" w:sz="0" w:space="0" w:color="auto"/>
        <w:bottom w:val="none" w:sz="0" w:space="0" w:color="auto"/>
        <w:right w:val="none" w:sz="0" w:space="0" w:color="auto"/>
      </w:divBdr>
      <w:divsChild>
        <w:div w:id="1133405272">
          <w:marLeft w:val="0"/>
          <w:marRight w:val="0"/>
          <w:marTop w:val="0"/>
          <w:marBottom w:val="0"/>
          <w:divBdr>
            <w:top w:val="none" w:sz="0" w:space="0" w:color="auto"/>
            <w:left w:val="none" w:sz="0" w:space="0" w:color="auto"/>
            <w:bottom w:val="none" w:sz="0" w:space="0" w:color="auto"/>
            <w:right w:val="none" w:sz="0" w:space="0" w:color="auto"/>
          </w:divBdr>
          <w:divsChild>
            <w:div w:id="577204157">
              <w:marLeft w:val="0"/>
              <w:marRight w:val="0"/>
              <w:marTop w:val="0"/>
              <w:marBottom w:val="0"/>
              <w:divBdr>
                <w:top w:val="none" w:sz="0" w:space="0" w:color="auto"/>
                <w:left w:val="none" w:sz="0" w:space="0" w:color="auto"/>
                <w:bottom w:val="none" w:sz="0" w:space="0" w:color="auto"/>
                <w:right w:val="none" w:sz="0" w:space="0" w:color="auto"/>
              </w:divBdr>
              <w:divsChild>
                <w:div w:id="20636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22063">
      <w:bodyDiv w:val="1"/>
      <w:marLeft w:val="0"/>
      <w:marRight w:val="0"/>
      <w:marTop w:val="0"/>
      <w:marBottom w:val="0"/>
      <w:divBdr>
        <w:top w:val="none" w:sz="0" w:space="0" w:color="auto"/>
        <w:left w:val="none" w:sz="0" w:space="0" w:color="auto"/>
        <w:bottom w:val="none" w:sz="0" w:space="0" w:color="auto"/>
        <w:right w:val="none" w:sz="0" w:space="0" w:color="auto"/>
      </w:divBdr>
    </w:div>
    <w:div w:id="1406998549">
      <w:bodyDiv w:val="1"/>
      <w:marLeft w:val="0"/>
      <w:marRight w:val="0"/>
      <w:marTop w:val="0"/>
      <w:marBottom w:val="0"/>
      <w:divBdr>
        <w:top w:val="none" w:sz="0" w:space="0" w:color="auto"/>
        <w:left w:val="none" w:sz="0" w:space="0" w:color="auto"/>
        <w:bottom w:val="none" w:sz="0" w:space="0" w:color="auto"/>
        <w:right w:val="none" w:sz="0" w:space="0" w:color="auto"/>
      </w:divBdr>
    </w:div>
    <w:div w:id="1415861282">
      <w:bodyDiv w:val="1"/>
      <w:marLeft w:val="0"/>
      <w:marRight w:val="0"/>
      <w:marTop w:val="0"/>
      <w:marBottom w:val="0"/>
      <w:divBdr>
        <w:top w:val="none" w:sz="0" w:space="0" w:color="auto"/>
        <w:left w:val="none" w:sz="0" w:space="0" w:color="auto"/>
        <w:bottom w:val="none" w:sz="0" w:space="0" w:color="auto"/>
        <w:right w:val="none" w:sz="0" w:space="0" w:color="auto"/>
      </w:divBdr>
      <w:divsChild>
        <w:div w:id="130514498">
          <w:marLeft w:val="0"/>
          <w:marRight w:val="0"/>
          <w:marTop w:val="0"/>
          <w:marBottom w:val="0"/>
          <w:divBdr>
            <w:top w:val="none" w:sz="0" w:space="0" w:color="auto"/>
            <w:left w:val="none" w:sz="0" w:space="0" w:color="auto"/>
            <w:bottom w:val="none" w:sz="0" w:space="0" w:color="auto"/>
            <w:right w:val="none" w:sz="0" w:space="0" w:color="auto"/>
          </w:divBdr>
          <w:divsChild>
            <w:div w:id="1005519355">
              <w:marLeft w:val="0"/>
              <w:marRight w:val="0"/>
              <w:marTop w:val="0"/>
              <w:marBottom w:val="0"/>
              <w:divBdr>
                <w:top w:val="none" w:sz="0" w:space="0" w:color="auto"/>
                <w:left w:val="none" w:sz="0" w:space="0" w:color="auto"/>
                <w:bottom w:val="none" w:sz="0" w:space="0" w:color="auto"/>
                <w:right w:val="none" w:sz="0" w:space="0" w:color="auto"/>
              </w:divBdr>
              <w:divsChild>
                <w:div w:id="20029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374231">
      <w:bodyDiv w:val="1"/>
      <w:marLeft w:val="0"/>
      <w:marRight w:val="0"/>
      <w:marTop w:val="0"/>
      <w:marBottom w:val="0"/>
      <w:divBdr>
        <w:top w:val="none" w:sz="0" w:space="0" w:color="auto"/>
        <w:left w:val="none" w:sz="0" w:space="0" w:color="auto"/>
        <w:bottom w:val="none" w:sz="0" w:space="0" w:color="auto"/>
        <w:right w:val="none" w:sz="0" w:space="0" w:color="auto"/>
      </w:divBdr>
    </w:div>
    <w:div w:id="1731804802">
      <w:bodyDiv w:val="1"/>
      <w:marLeft w:val="0"/>
      <w:marRight w:val="0"/>
      <w:marTop w:val="0"/>
      <w:marBottom w:val="0"/>
      <w:divBdr>
        <w:top w:val="none" w:sz="0" w:space="0" w:color="auto"/>
        <w:left w:val="none" w:sz="0" w:space="0" w:color="auto"/>
        <w:bottom w:val="none" w:sz="0" w:space="0" w:color="auto"/>
        <w:right w:val="none" w:sz="0" w:space="0" w:color="auto"/>
      </w:divBdr>
    </w:div>
    <w:div w:id="1923098697">
      <w:bodyDiv w:val="1"/>
      <w:marLeft w:val="0"/>
      <w:marRight w:val="0"/>
      <w:marTop w:val="0"/>
      <w:marBottom w:val="0"/>
      <w:divBdr>
        <w:top w:val="none" w:sz="0" w:space="0" w:color="auto"/>
        <w:left w:val="none" w:sz="0" w:space="0" w:color="auto"/>
        <w:bottom w:val="none" w:sz="0" w:space="0" w:color="auto"/>
        <w:right w:val="none" w:sz="0" w:space="0" w:color="auto"/>
      </w:divBdr>
      <w:divsChild>
        <w:div w:id="2126582581">
          <w:marLeft w:val="0"/>
          <w:marRight w:val="0"/>
          <w:marTop w:val="0"/>
          <w:marBottom w:val="0"/>
          <w:divBdr>
            <w:top w:val="none" w:sz="0" w:space="0" w:color="auto"/>
            <w:left w:val="none" w:sz="0" w:space="0" w:color="auto"/>
            <w:bottom w:val="none" w:sz="0" w:space="0" w:color="auto"/>
            <w:right w:val="none" w:sz="0" w:space="0" w:color="auto"/>
          </w:divBdr>
          <w:divsChild>
            <w:div w:id="720642200">
              <w:marLeft w:val="0"/>
              <w:marRight w:val="0"/>
              <w:marTop w:val="0"/>
              <w:marBottom w:val="0"/>
              <w:divBdr>
                <w:top w:val="none" w:sz="0" w:space="0" w:color="auto"/>
                <w:left w:val="none" w:sz="0" w:space="0" w:color="auto"/>
                <w:bottom w:val="none" w:sz="0" w:space="0" w:color="auto"/>
                <w:right w:val="none" w:sz="0" w:space="0" w:color="auto"/>
              </w:divBdr>
              <w:divsChild>
                <w:div w:id="123161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2062">
      <w:bodyDiv w:val="1"/>
      <w:marLeft w:val="0"/>
      <w:marRight w:val="0"/>
      <w:marTop w:val="0"/>
      <w:marBottom w:val="0"/>
      <w:divBdr>
        <w:top w:val="none" w:sz="0" w:space="0" w:color="auto"/>
        <w:left w:val="none" w:sz="0" w:space="0" w:color="auto"/>
        <w:bottom w:val="none" w:sz="0" w:space="0" w:color="auto"/>
        <w:right w:val="none" w:sz="0" w:space="0" w:color="auto"/>
      </w:divBdr>
    </w:div>
    <w:div w:id="2110812636">
      <w:bodyDiv w:val="1"/>
      <w:marLeft w:val="0"/>
      <w:marRight w:val="0"/>
      <w:marTop w:val="0"/>
      <w:marBottom w:val="0"/>
      <w:divBdr>
        <w:top w:val="none" w:sz="0" w:space="0" w:color="auto"/>
        <w:left w:val="none" w:sz="0" w:space="0" w:color="auto"/>
        <w:bottom w:val="none" w:sz="0" w:space="0" w:color="auto"/>
        <w:right w:val="none" w:sz="0" w:space="0" w:color="auto"/>
      </w:divBdr>
      <w:divsChild>
        <w:div w:id="158468483">
          <w:marLeft w:val="0"/>
          <w:marRight w:val="0"/>
          <w:marTop w:val="0"/>
          <w:marBottom w:val="0"/>
          <w:divBdr>
            <w:top w:val="none" w:sz="0" w:space="0" w:color="auto"/>
            <w:left w:val="none" w:sz="0" w:space="0" w:color="auto"/>
            <w:bottom w:val="none" w:sz="0" w:space="0" w:color="auto"/>
            <w:right w:val="none" w:sz="0" w:space="0" w:color="auto"/>
          </w:divBdr>
          <w:divsChild>
            <w:div w:id="1584027661">
              <w:marLeft w:val="0"/>
              <w:marRight w:val="0"/>
              <w:marTop w:val="0"/>
              <w:marBottom w:val="0"/>
              <w:divBdr>
                <w:top w:val="none" w:sz="0" w:space="0" w:color="auto"/>
                <w:left w:val="none" w:sz="0" w:space="0" w:color="auto"/>
                <w:bottom w:val="none" w:sz="0" w:space="0" w:color="auto"/>
                <w:right w:val="none" w:sz="0" w:space="0" w:color="auto"/>
              </w:divBdr>
              <w:divsChild>
                <w:div w:id="13540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tylersmith\Documents\Felon%20Disenfranchisement%20Rate%20Comparison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tylersmith\Documents\Felon%20Disenfranchisement%20Rate%20Comparison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tylersmith\Documents\Felon%20Disenfranchisement%20Rate%20Comparison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tylersmith\Documents\Felon%20Disenfranchisement%20Rate%20Comparison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Region I (Northeast) Felon Disenfranchisement Rates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Sheet1!$F$2</c:f>
              <c:strCache>
                <c:ptCount val="1"/>
                <c:pt idx="0">
                  <c:v>Total Disenfranchisement Rate</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Sheet1!$E$3:$E$11</c:f>
              <c:strCache>
                <c:ptCount val="9"/>
                <c:pt idx="0">
                  <c:v>Connecticut </c:v>
                </c:pt>
                <c:pt idx="1">
                  <c:v>Maine </c:v>
                </c:pt>
                <c:pt idx="2">
                  <c:v>Massachusetts </c:v>
                </c:pt>
                <c:pt idx="3">
                  <c:v>New Hampshire </c:v>
                </c:pt>
                <c:pt idx="4">
                  <c:v>New Jersey </c:v>
                </c:pt>
                <c:pt idx="5">
                  <c:v>New York </c:v>
                </c:pt>
                <c:pt idx="6">
                  <c:v>Pennsylvania</c:v>
                </c:pt>
                <c:pt idx="7">
                  <c:v>Rhode Island </c:v>
                </c:pt>
                <c:pt idx="8">
                  <c:v>Vermont </c:v>
                </c:pt>
              </c:strCache>
            </c:strRef>
          </c:cat>
          <c:val>
            <c:numRef>
              <c:f>Sheet1!$F$3:$F$11</c:f>
              <c:numCache>
                <c:formatCode>General</c:formatCode>
                <c:ptCount val="9"/>
                <c:pt idx="0">
                  <c:v>0.61</c:v>
                </c:pt>
                <c:pt idx="1">
                  <c:v>0</c:v>
                </c:pt>
                <c:pt idx="2">
                  <c:v>0.21</c:v>
                </c:pt>
                <c:pt idx="3">
                  <c:v>0.28000000000000003</c:v>
                </c:pt>
                <c:pt idx="4">
                  <c:v>1.36</c:v>
                </c:pt>
                <c:pt idx="5">
                  <c:v>0.63</c:v>
                </c:pt>
                <c:pt idx="6">
                  <c:v>0.52</c:v>
                </c:pt>
                <c:pt idx="7">
                  <c:v>0.4</c:v>
                </c:pt>
                <c:pt idx="8">
                  <c:v>0</c:v>
                </c:pt>
              </c:numCache>
            </c:numRef>
          </c:val>
          <c:extLst>
            <c:ext xmlns:c16="http://schemas.microsoft.com/office/drawing/2014/chart" uri="{C3380CC4-5D6E-409C-BE32-E72D297353CC}">
              <c16:uniqueId val="{00000000-DFB6-D746-B70D-93FAD7DEFEDB}"/>
            </c:ext>
          </c:extLst>
        </c:ser>
        <c:ser>
          <c:idx val="1"/>
          <c:order val="1"/>
          <c:tx>
            <c:strRef>
              <c:f>Sheet1!$G$2</c:f>
              <c:strCache>
                <c:ptCount val="1"/>
                <c:pt idx="0">
                  <c:v>Black Disenfranchisement Rate</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Sheet1!$E$3:$E$11</c:f>
              <c:strCache>
                <c:ptCount val="9"/>
                <c:pt idx="0">
                  <c:v>Connecticut </c:v>
                </c:pt>
                <c:pt idx="1">
                  <c:v>Maine </c:v>
                </c:pt>
                <c:pt idx="2">
                  <c:v>Massachusetts </c:v>
                </c:pt>
                <c:pt idx="3">
                  <c:v>New Hampshire </c:v>
                </c:pt>
                <c:pt idx="4">
                  <c:v>New Jersey </c:v>
                </c:pt>
                <c:pt idx="5">
                  <c:v>New York </c:v>
                </c:pt>
                <c:pt idx="6">
                  <c:v>Pennsylvania</c:v>
                </c:pt>
                <c:pt idx="7">
                  <c:v>Rhode Island </c:v>
                </c:pt>
                <c:pt idx="8">
                  <c:v>Vermont </c:v>
                </c:pt>
              </c:strCache>
            </c:strRef>
          </c:cat>
          <c:val>
            <c:numRef>
              <c:f>Sheet1!$G$3:$G$11</c:f>
              <c:numCache>
                <c:formatCode>General</c:formatCode>
                <c:ptCount val="9"/>
                <c:pt idx="0">
                  <c:v>2.66</c:v>
                </c:pt>
                <c:pt idx="1">
                  <c:v>0</c:v>
                </c:pt>
                <c:pt idx="2">
                  <c:v>0.83</c:v>
                </c:pt>
                <c:pt idx="3">
                  <c:v>1.57</c:v>
                </c:pt>
                <c:pt idx="4">
                  <c:v>5.28</c:v>
                </c:pt>
                <c:pt idx="5">
                  <c:v>2.0299999999999998</c:v>
                </c:pt>
                <c:pt idx="6">
                  <c:v>2.46</c:v>
                </c:pt>
                <c:pt idx="7">
                  <c:v>2.0299999999999998</c:v>
                </c:pt>
                <c:pt idx="8">
                  <c:v>0</c:v>
                </c:pt>
              </c:numCache>
            </c:numRef>
          </c:val>
          <c:extLst>
            <c:ext xmlns:c16="http://schemas.microsoft.com/office/drawing/2014/chart" uri="{C3380CC4-5D6E-409C-BE32-E72D297353CC}">
              <c16:uniqueId val="{00000001-DFB6-D746-B70D-93FAD7DEFEDB}"/>
            </c:ext>
          </c:extLst>
        </c:ser>
        <c:dLbls>
          <c:showLegendKey val="0"/>
          <c:showVal val="0"/>
          <c:showCatName val="0"/>
          <c:showSerName val="0"/>
          <c:showPercent val="0"/>
          <c:showBubbleSize val="0"/>
        </c:dLbls>
        <c:gapWidth val="100"/>
        <c:overlap val="-24"/>
        <c:axId val="932319968"/>
        <c:axId val="932202080"/>
      </c:barChart>
      <c:catAx>
        <c:axId val="932319968"/>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State</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32202080"/>
        <c:crosses val="autoZero"/>
        <c:auto val="1"/>
        <c:lblAlgn val="ctr"/>
        <c:lblOffset val="100"/>
        <c:noMultiLvlLbl val="0"/>
      </c:catAx>
      <c:valAx>
        <c:axId val="93220208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Disenfranchisement Rate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3231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Region II</a:t>
            </a:r>
            <a:r>
              <a:rPr lang="en-US" baseline="0"/>
              <a:t> (Midwest)</a:t>
            </a:r>
            <a:r>
              <a:rPr lang="en-US"/>
              <a:t> Felon Disenfranchisement Rates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Sheet1!$J$2</c:f>
              <c:strCache>
                <c:ptCount val="1"/>
                <c:pt idx="0">
                  <c:v>Total Disenfranchisement Rate</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Sheet1!$I$3:$I$14</c:f>
              <c:strCache>
                <c:ptCount val="12"/>
                <c:pt idx="0">
                  <c:v>Illinois</c:v>
                </c:pt>
                <c:pt idx="1">
                  <c:v>Indiana </c:v>
                </c:pt>
                <c:pt idx="2">
                  <c:v>Iowa </c:v>
                </c:pt>
                <c:pt idx="3">
                  <c:v>Kansas </c:v>
                </c:pt>
                <c:pt idx="4">
                  <c:v>Michigan </c:v>
                </c:pt>
                <c:pt idx="5">
                  <c:v>Minnesota </c:v>
                </c:pt>
                <c:pt idx="6">
                  <c:v>Missouri </c:v>
                </c:pt>
                <c:pt idx="7">
                  <c:v>Nebraska </c:v>
                </c:pt>
                <c:pt idx="8">
                  <c:v>North Dakota </c:v>
                </c:pt>
                <c:pt idx="9">
                  <c:v>Ohio </c:v>
                </c:pt>
                <c:pt idx="10">
                  <c:v>South Dakota </c:v>
                </c:pt>
                <c:pt idx="11">
                  <c:v>Wisconsin </c:v>
                </c:pt>
              </c:strCache>
            </c:strRef>
          </c:cat>
          <c:val>
            <c:numRef>
              <c:f>Sheet1!$J$3:$J$14</c:f>
              <c:numCache>
                <c:formatCode>General</c:formatCode>
                <c:ptCount val="12"/>
                <c:pt idx="0">
                  <c:v>0.5</c:v>
                </c:pt>
                <c:pt idx="1">
                  <c:v>2.17</c:v>
                </c:pt>
                <c:pt idx="2">
                  <c:v>0.59</c:v>
                </c:pt>
                <c:pt idx="3">
                  <c:v>0.8</c:v>
                </c:pt>
                <c:pt idx="4">
                  <c:v>0.56999999999999995</c:v>
                </c:pt>
                <c:pt idx="5">
                  <c:v>1.51</c:v>
                </c:pt>
                <c:pt idx="6">
                  <c:v>1.91</c:v>
                </c:pt>
                <c:pt idx="7">
                  <c:v>1.23</c:v>
                </c:pt>
                <c:pt idx="8">
                  <c:v>0.37</c:v>
                </c:pt>
                <c:pt idx="9">
                  <c:v>0.59</c:v>
                </c:pt>
                <c:pt idx="10">
                  <c:v>1.61</c:v>
                </c:pt>
                <c:pt idx="11">
                  <c:v>1.47</c:v>
                </c:pt>
              </c:numCache>
            </c:numRef>
          </c:val>
          <c:extLst>
            <c:ext xmlns:c16="http://schemas.microsoft.com/office/drawing/2014/chart" uri="{C3380CC4-5D6E-409C-BE32-E72D297353CC}">
              <c16:uniqueId val="{00000000-080F-564B-9758-939E9F51897B}"/>
            </c:ext>
          </c:extLst>
        </c:ser>
        <c:ser>
          <c:idx val="1"/>
          <c:order val="1"/>
          <c:tx>
            <c:strRef>
              <c:f>Sheet1!$K$2</c:f>
              <c:strCache>
                <c:ptCount val="1"/>
                <c:pt idx="0">
                  <c:v>Black Disenfranchisement Rate</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Sheet1!$I$3:$I$14</c:f>
              <c:strCache>
                <c:ptCount val="12"/>
                <c:pt idx="0">
                  <c:v>Illinois</c:v>
                </c:pt>
                <c:pt idx="1">
                  <c:v>Indiana </c:v>
                </c:pt>
                <c:pt idx="2">
                  <c:v>Iowa </c:v>
                </c:pt>
                <c:pt idx="3">
                  <c:v>Kansas </c:v>
                </c:pt>
                <c:pt idx="4">
                  <c:v>Michigan </c:v>
                </c:pt>
                <c:pt idx="5">
                  <c:v>Minnesota </c:v>
                </c:pt>
                <c:pt idx="6">
                  <c:v>Missouri </c:v>
                </c:pt>
                <c:pt idx="7">
                  <c:v>Nebraska </c:v>
                </c:pt>
                <c:pt idx="8">
                  <c:v>North Dakota </c:v>
                </c:pt>
                <c:pt idx="9">
                  <c:v>Ohio </c:v>
                </c:pt>
                <c:pt idx="10">
                  <c:v>South Dakota </c:v>
                </c:pt>
                <c:pt idx="11">
                  <c:v>Wisconsin </c:v>
                </c:pt>
              </c:strCache>
            </c:strRef>
          </c:cat>
          <c:val>
            <c:numRef>
              <c:f>Sheet1!$K$3:$K$14</c:f>
              <c:numCache>
                <c:formatCode>General</c:formatCode>
                <c:ptCount val="12"/>
                <c:pt idx="0">
                  <c:v>1.98</c:v>
                </c:pt>
                <c:pt idx="1">
                  <c:v>2.3199999999999998</c:v>
                </c:pt>
                <c:pt idx="2">
                  <c:v>9.84</c:v>
                </c:pt>
                <c:pt idx="3">
                  <c:v>4.29</c:v>
                </c:pt>
                <c:pt idx="4">
                  <c:v>2.2400000000000002</c:v>
                </c:pt>
                <c:pt idx="5">
                  <c:v>7.34</c:v>
                </c:pt>
                <c:pt idx="6">
                  <c:v>5.78</c:v>
                </c:pt>
                <c:pt idx="7">
                  <c:v>5.6</c:v>
                </c:pt>
                <c:pt idx="8">
                  <c:v>2.0699999999999998</c:v>
                </c:pt>
                <c:pt idx="9">
                  <c:v>2.3199999999999998</c:v>
                </c:pt>
                <c:pt idx="10">
                  <c:v>3.84</c:v>
                </c:pt>
                <c:pt idx="11">
                  <c:v>8.75</c:v>
                </c:pt>
              </c:numCache>
            </c:numRef>
          </c:val>
          <c:extLst>
            <c:ext xmlns:c16="http://schemas.microsoft.com/office/drawing/2014/chart" uri="{C3380CC4-5D6E-409C-BE32-E72D297353CC}">
              <c16:uniqueId val="{00000001-080F-564B-9758-939E9F51897B}"/>
            </c:ext>
          </c:extLst>
        </c:ser>
        <c:dLbls>
          <c:showLegendKey val="0"/>
          <c:showVal val="0"/>
          <c:showCatName val="0"/>
          <c:showSerName val="0"/>
          <c:showPercent val="0"/>
          <c:showBubbleSize val="0"/>
        </c:dLbls>
        <c:gapWidth val="100"/>
        <c:overlap val="-24"/>
        <c:axId val="938770336"/>
        <c:axId val="938743888"/>
      </c:barChart>
      <c:catAx>
        <c:axId val="93877033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State</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38743888"/>
        <c:crosses val="autoZero"/>
        <c:auto val="1"/>
        <c:lblAlgn val="ctr"/>
        <c:lblOffset val="100"/>
        <c:noMultiLvlLbl val="0"/>
      </c:catAx>
      <c:valAx>
        <c:axId val="938743888"/>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Disenfranchisement Rate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3877033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Region III (South) Felon Disenfranchisement Rates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Sheet1!$N$2</c:f>
              <c:strCache>
                <c:ptCount val="1"/>
                <c:pt idx="0">
                  <c:v>Total Disenfranchisement Rate</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Sheet1!$M$3:$M$18</c:f>
              <c:strCache>
                <c:ptCount val="16"/>
                <c:pt idx="0">
                  <c:v>Alabama </c:v>
                </c:pt>
                <c:pt idx="1">
                  <c:v>Arkansas </c:v>
                </c:pt>
                <c:pt idx="2">
                  <c:v>Delaware </c:v>
                </c:pt>
                <c:pt idx="3">
                  <c:v>Florida </c:v>
                </c:pt>
                <c:pt idx="4">
                  <c:v>Georgia </c:v>
                </c:pt>
                <c:pt idx="5">
                  <c:v>Kentucky </c:v>
                </c:pt>
                <c:pt idx="6">
                  <c:v>Louisiana </c:v>
                </c:pt>
                <c:pt idx="7">
                  <c:v>Maryland </c:v>
                </c:pt>
                <c:pt idx="8">
                  <c:v>Mississippi </c:v>
                </c:pt>
                <c:pt idx="9">
                  <c:v>North Carolina </c:v>
                </c:pt>
                <c:pt idx="10">
                  <c:v>Oklahoma </c:v>
                </c:pt>
                <c:pt idx="11">
                  <c:v>South Carolina </c:v>
                </c:pt>
                <c:pt idx="12">
                  <c:v>Tennessee </c:v>
                </c:pt>
                <c:pt idx="13">
                  <c:v>Texas </c:v>
                </c:pt>
                <c:pt idx="14">
                  <c:v>Virginia </c:v>
                </c:pt>
                <c:pt idx="15">
                  <c:v>West Virginia </c:v>
                </c:pt>
              </c:strCache>
            </c:strRef>
          </c:cat>
          <c:val>
            <c:numRef>
              <c:f>Sheet1!$N$3:$N$18</c:f>
              <c:numCache>
                <c:formatCode>General</c:formatCode>
                <c:ptCount val="16"/>
                <c:pt idx="0">
                  <c:v>7.62</c:v>
                </c:pt>
                <c:pt idx="1">
                  <c:v>2.93</c:v>
                </c:pt>
                <c:pt idx="2">
                  <c:v>2.12</c:v>
                </c:pt>
                <c:pt idx="3">
                  <c:v>10.43</c:v>
                </c:pt>
                <c:pt idx="4">
                  <c:v>3.23</c:v>
                </c:pt>
                <c:pt idx="5">
                  <c:v>9.14</c:v>
                </c:pt>
                <c:pt idx="6">
                  <c:v>3.04</c:v>
                </c:pt>
                <c:pt idx="7">
                  <c:v>0.45</c:v>
                </c:pt>
                <c:pt idx="8">
                  <c:v>9.6300000000000008</c:v>
                </c:pt>
                <c:pt idx="9">
                  <c:v>1.18</c:v>
                </c:pt>
                <c:pt idx="10">
                  <c:v>1.98</c:v>
                </c:pt>
                <c:pt idx="11">
                  <c:v>1.24</c:v>
                </c:pt>
                <c:pt idx="12">
                  <c:v>8.26</c:v>
                </c:pt>
                <c:pt idx="13">
                  <c:v>2.4500000000000002</c:v>
                </c:pt>
                <c:pt idx="14">
                  <c:v>7.81</c:v>
                </c:pt>
                <c:pt idx="15">
                  <c:v>1.01</c:v>
                </c:pt>
              </c:numCache>
            </c:numRef>
          </c:val>
          <c:extLst>
            <c:ext xmlns:c16="http://schemas.microsoft.com/office/drawing/2014/chart" uri="{C3380CC4-5D6E-409C-BE32-E72D297353CC}">
              <c16:uniqueId val="{00000000-E59E-E841-B1CA-7BFDF9D472D5}"/>
            </c:ext>
          </c:extLst>
        </c:ser>
        <c:ser>
          <c:idx val="1"/>
          <c:order val="1"/>
          <c:tx>
            <c:strRef>
              <c:f>Sheet1!$O$2</c:f>
              <c:strCache>
                <c:ptCount val="1"/>
                <c:pt idx="0">
                  <c:v>Black Disenfranchisement Rate</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Sheet1!$M$3:$M$18</c:f>
              <c:strCache>
                <c:ptCount val="16"/>
                <c:pt idx="0">
                  <c:v>Alabama </c:v>
                </c:pt>
                <c:pt idx="1">
                  <c:v>Arkansas </c:v>
                </c:pt>
                <c:pt idx="2">
                  <c:v>Delaware </c:v>
                </c:pt>
                <c:pt idx="3">
                  <c:v>Florida </c:v>
                </c:pt>
                <c:pt idx="4">
                  <c:v>Georgia </c:v>
                </c:pt>
                <c:pt idx="5">
                  <c:v>Kentucky </c:v>
                </c:pt>
                <c:pt idx="6">
                  <c:v>Louisiana </c:v>
                </c:pt>
                <c:pt idx="7">
                  <c:v>Maryland </c:v>
                </c:pt>
                <c:pt idx="8">
                  <c:v>Mississippi </c:v>
                </c:pt>
                <c:pt idx="9">
                  <c:v>North Carolina </c:v>
                </c:pt>
                <c:pt idx="10">
                  <c:v>Oklahoma </c:v>
                </c:pt>
                <c:pt idx="11">
                  <c:v>South Carolina </c:v>
                </c:pt>
                <c:pt idx="12">
                  <c:v>Tennessee </c:v>
                </c:pt>
                <c:pt idx="13">
                  <c:v>Texas </c:v>
                </c:pt>
                <c:pt idx="14">
                  <c:v>Virginia </c:v>
                </c:pt>
                <c:pt idx="15">
                  <c:v>West Virginia </c:v>
                </c:pt>
              </c:strCache>
            </c:strRef>
          </c:cat>
          <c:val>
            <c:numRef>
              <c:f>Sheet1!$O$3:$O$18</c:f>
              <c:numCache>
                <c:formatCode>General</c:formatCode>
                <c:ptCount val="16"/>
                <c:pt idx="0">
                  <c:v>15.11</c:v>
                </c:pt>
                <c:pt idx="1">
                  <c:v>7.83</c:v>
                </c:pt>
                <c:pt idx="2">
                  <c:v>5.35</c:v>
                </c:pt>
                <c:pt idx="3">
                  <c:v>21.35</c:v>
                </c:pt>
                <c:pt idx="4">
                  <c:v>6.28</c:v>
                </c:pt>
                <c:pt idx="5">
                  <c:v>26.15</c:v>
                </c:pt>
                <c:pt idx="6">
                  <c:v>6.27</c:v>
                </c:pt>
                <c:pt idx="7">
                  <c:v>1.1399999999999999</c:v>
                </c:pt>
                <c:pt idx="8">
                  <c:v>15.85</c:v>
                </c:pt>
                <c:pt idx="9">
                  <c:v>2.63</c:v>
                </c:pt>
                <c:pt idx="10">
                  <c:v>6.77</c:v>
                </c:pt>
                <c:pt idx="11">
                  <c:v>3.84</c:v>
                </c:pt>
                <c:pt idx="12">
                  <c:v>21.27</c:v>
                </c:pt>
                <c:pt idx="13">
                  <c:v>6.17</c:v>
                </c:pt>
                <c:pt idx="14">
                  <c:v>21.9</c:v>
                </c:pt>
                <c:pt idx="15">
                  <c:v>3.55</c:v>
                </c:pt>
              </c:numCache>
            </c:numRef>
          </c:val>
          <c:extLst>
            <c:ext xmlns:c16="http://schemas.microsoft.com/office/drawing/2014/chart" uri="{C3380CC4-5D6E-409C-BE32-E72D297353CC}">
              <c16:uniqueId val="{00000001-E59E-E841-B1CA-7BFDF9D472D5}"/>
            </c:ext>
          </c:extLst>
        </c:ser>
        <c:dLbls>
          <c:showLegendKey val="0"/>
          <c:showVal val="0"/>
          <c:showCatName val="0"/>
          <c:showSerName val="0"/>
          <c:showPercent val="0"/>
          <c:showBubbleSize val="0"/>
        </c:dLbls>
        <c:gapWidth val="100"/>
        <c:overlap val="-24"/>
        <c:axId val="937281840"/>
        <c:axId val="938147152"/>
      </c:barChart>
      <c:catAx>
        <c:axId val="937281840"/>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State</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38147152"/>
        <c:crosses val="autoZero"/>
        <c:auto val="1"/>
        <c:lblAlgn val="ctr"/>
        <c:lblOffset val="100"/>
        <c:noMultiLvlLbl val="0"/>
      </c:catAx>
      <c:valAx>
        <c:axId val="938147152"/>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Disenfranchisement Rate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3728184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Region IV (West) Felon Disenfranchisement Rates</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Sheet1!$R$2</c:f>
              <c:strCache>
                <c:ptCount val="1"/>
                <c:pt idx="0">
                  <c:v>Total Disenfranchisement Rate</c:v>
                </c:pt>
              </c:strCache>
            </c:strRef>
          </c:tx>
          <c:spPr>
            <a:gradFill rotWithShape="1">
              <a:gsLst>
                <a:gs pos="0">
                  <a:schemeClr val="accent5">
                    <a:tint val="77000"/>
                    <a:satMod val="103000"/>
                    <a:lumMod val="102000"/>
                    <a:tint val="94000"/>
                  </a:schemeClr>
                </a:gs>
                <a:gs pos="50000">
                  <a:schemeClr val="accent5">
                    <a:tint val="77000"/>
                    <a:satMod val="110000"/>
                    <a:lumMod val="100000"/>
                    <a:shade val="100000"/>
                  </a:schemeClr>
                </a:gs>
                <a:gs pos="100000">
                  <a:schemeClr val="accent5">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Sheet1!$Q$3:$Q$15</c:f>
              <c:strCache>
                <c:ptCount val="13"/>
                <c:pt idx="0">
                  <c:v>Alaska </c:v>
                </c:pt>
                <c:pt idx="1">
                  <c:v>Arizona </c:v>
                </c:pt>
                <c:pt idx="2">
                  <c:v>California </c:v>
                </c:pt>
                <c:pt idx="3">
                  <c:v>Colorado </c:v>
                </c:pt>
                <c:pt idx="4">
                  <c:v>Hawaii </c:v>
                </c:pt>
                <c:pt idx="5">
                  <c:v>Idaho </c:v>
                </c:pt>
                <c:pt idx="6">
                  <c:v>Montana</c:v>
                </c:pt>
                <c:pt idx="7">
                  <c:v>Nevada </c:v>
                </c:pt>
                <c:pt idx="8">
                  <c:v>New Mexico </c:v>
                </c:pt>
                <c:pt idx="9">
                  <c:v>Oregon </c:v>
                </c:pt>
                <c:pt idx="10">
                  <c:v>Utah </c:v>
                </c:pt>
                <c:pt idx="11">
                  <c:v>Washington </c:v>
                </c:pt>
                <c:pt idx="12">
                  <c:v>Wyoming</c:v>
                </c:pt>
              </c:strCache>
            </c:strRef>
          </c:cat>
          <c:val>
            <c:numRef>
              <c:f>Sheet1!$R$3:$R$15</c:f>
              <c:numCache>
                <c:formatCode>General</c:formatCode>
                <c:ptCount val="13"/>
                <c:pt idx="0">
                  <c:v>2.61</c:v>
                </c:pt>
                <c:pt idx="1">
                  <c:v>4.25</c:v>
                </c:pt>
                <c:pt idx="2">
                  <c:v>0.74</c:v>
                </c:pt>
                <c:pt idx="3">
                  <c:v>0.74</c:v>
                </c:pt>
                <c:pt idx="4">
                  <c:v>0.56999999999999995</c:v>
                </c:pt>
                <c:pt idx="5">
                  <c:v>1.89</c:v>
                </c:pt>
                <c:pt idx="6">
                  <c:v>0.51</c:v>
                </c:pt>
                <c:pt idx="7">
                  <c:v>4.0199999999999996</c:v>
                </c:pt>
                <c:pt idx="8">
                  <c:v>1.53</c:v>
                </c:pt>
                <c:pt idx="9">
                  <c:v>0.47</c:v>
                </c:pt>
                <c:pt idx="10">
                  <c:v>0.37</c:v>
                </c:pt>
                <c:pt idx="11">
                  <c:v>0.87</c:v>
                </c:pt>
                <c:pt idx="12">
                  <c:v>5.33</c:v>
                </c:pt>
              </c:numCache>
            </c:numRef>
          </c:val>
          <c:extLst>
            <c:ext xmlns:c16="http://schemas.microsoft.com/office/drawing/2014/chart" uri="{C3380CC4-5D6E-409C-BE32-E72D297353CC}">
              <c16:uniqueId val="{00000000-0B0C-5D40-A9D8-990204D10F6A}"/>
            </c:ext>
          </c:extLst>
        </c:ser>
        <c:ser>
          <c:idx val="1"/>
          <c:order val="1"/>
          <c:tx>
            <c:strRef>
              <c:f>Sheet1!$S$2</c:f>
              <c:strCache>
                <c:ptCount val="1"/>
                <c:pt idx="0">
                  <c:v>Black Disenfranchisement Rate</c:v>
                </c:pt>
              </c:strCache>
            </c:strRef>
          </c:tx>
          <c:spPr>
            <a:gradFill rotWithShape="1">
              <a:gsLst>
                <a:gs pos="0">
                  <a:schemeClr val="accent5">
                    <a:shade val="76000"/>
                    <a:satMod val="103000"/>
                    <a:lumMod val="102000"/>
                    <a:tint val="94000"/>
                  </a:schemeClr>
                </a:gs>
                <a:gs pos="50000">
                  <a:schemeClr val="accent5">
                    <a:shade val="76000"/>
                    <a:satMod val="110000"/>
                    <a:lumMod val="100000"/>
                    <a:shade val="100000"/>
                  </a:schemeClr>
                </a:gs>
                <a:gs pos="100000">
                  <a:schemeClr val="accent5">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Sheet1!$Q$3:$Q$15</c:f>
              <c:strCache>
                <c:ptCount val="13"/>
                <c:pt idx="0">
                  <c:v>Alaska </c:v>
                </c:pt>
                <c:pt idx="1">
                  <c:v>Arizona </c:v>
                </c:pt>
                <c:pt idx="2">
                  <c:v>California </c:v>
                </c:pt>
                <c:pt idx="3">
                  <c:v>Colorado </c:v>
                </c:pt>
                <c:pt idx="4">
                  <c:v>Hawaii </c:v>
                </c:pt>
                <c:pt idx="5">
                  <c:v>Idaho </c:v>
                </c:pt>
                <c:pt idx="6">
                  <c:v>Montana</c:v>
                </c:pt>
                <c:pt idx="7">
                  <c:v>Nevada </c:v>
                </c:pt>
                <c:pt idx="8">
                  <c:v>New Mexico </c:v>
                </c:pt>
                <c:pt idx="9">
                  <c:v>Oregon </c:v>
                </c:pt>
                <c:pt idx="10">
                  <c:v>Utah </c:v>
                </c:pt>
                <c:pt idx="11">
                  <c:v>Washington </c:v>
                </c:pt>
                <c:pt idx="12">
                  <c:v>Wyoming</c:v>
                </c:pt>
              </c:strCache>
            </c:strRef>
          </c:cat>
          <c:val>
            <c:numRef>
              <c:f>Sheet1!$S$3:$S$15</c:f>
              <c:numCache>
                <c:formatCode>General</c:formatCode>
                <c:ptCount val="13"/>
                <c:pt idx="0">
                  <c:v>6.83</c:v>
                </c:pt>
                <c:pt idx="1">
                  <c:v>11.89</c:v>
                </c:pt>
                <c:pt idx="2">
                  <c:v>3.41</c:v>
                </c:pt>
                <c:pt idx="3">
                  <c:v>3.39</c:v>
                </c:pt>
                <c:pt idx="4">
                  <c:v>1.1299999999999999</c:v>
                </c:pt>
                <c:pt idx="5">
                  <c:v>6.98</c:v>
                </c:pt>
                <c:pt idx="6">
                  <c:v>4.8</c:v>
                </c:pt>
                <c:pt idx="7">
                  <c:v>11.76</c:v>
                </c:pt>
                <c:pt idx="8">
                  <c:v>4.71</c:v>
                </c:pt>
                <c:pt idx="9">
                  <c:v>2.62</c:v>
                </c:pt>
                <c:pt idx="10">
                  <c:v>3.18</c:v>
                </c:pt>
                <c:pt idx="11">
                  <c:v>3.71</c:v>
                </c:pt>
                <c:pt idx="12">
                  <c:v>17.18</c:v>
                </c:pt>
              </c:numCache>
            </c:numRef>
          </c:val>
          <c:extLst>
            <c:ext xmlns:c16="http://schemas.microsoft.com/office/drawing/2014/chart" uri="{C3380CC4-5D6E-409C-BE32-E72D297353CC}">
              <c16:uniqueId val="{00000001-0B0C-5D40-A9D8-990204D10F6A}"/>
            </c:ext>
          </c:extLst>
        </c:ser>
        <c:dLbls>
          <c:showLegendKey val="0"/>
          <c:showVal val="0"/>
          <c:showCatName val="0"/>
          <c:showSerName val="0"/>
          <c:showPercent val="0"/>
          <c:showBubbleSize val="0"/>
        </c:dLbls>
        <c:gapWidth val="100"/>
        <c:overlap val="-24"/>
        <c:axId val="937132432"/>
        <c:axId val="937133680"/>
      </c:barChart>
      <c:catAx>
        <c:axId val="937132432"/>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State</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37133680"/>
        <c:crosses val="autoZero"/>
        <c:auto val="1"/>
        <c:lblAlgn val="ctr"/>
        <c:lblOffset val="100"/>
        <c:noMultiLvlLbl val="0"/>
      </c:catAx>
      <c:valAx>
        <c:axId val="937133680"/>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Disenfranchisement Rate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3713243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Reversed" id="25">
  <a:schemeClr val="accent5"/>
</cs:colorStyle>
</file>

<file path=word/charts/colors4.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0DED3E-FEF7-7448-84A8-42974483B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43</Pages>
  <Words>7793</Words>
  <Characters>44425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McLean County Government</Company>
  <LinksUpToDate>false</LinksUpToDate>
  <CharactersWithSpaces>52114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Tyler</dc:creator>
  <cp:keywords/>
  <dc:description/>
  <cp:lastModifiedBy>Smith, Tyler</cp:lastModifiedBy>
  <cp:revision>3</cp:revision>
  <cp:lastPrinted>2019-03-04T04:35:00Z</cp:lastPrinted>
  <dcterms:created xsi:type="dcterms:W3CDTF">2019-04-12T14:45:00Z</dcterms:created>
  <dcterms:modified xsi:type="dcterms:W3CDTF">2019-04-12T15:17:00Z</dcterms:modified>
</cp:coreProperties>
</file>